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00" w:lineRule="exact"/>
        <w:jc w:val="center"/>
        <w:rPr>
          <w:rFonts w:hint="eastAsia" w:ascii="仿宋" w:hAnsi="仿宋" w:eastAsia="仿宋" w:cs="仿宋"/>
          <w:b/>
          <w:bCs/>
          <w:sz w:val="28"/>
          <w:szCs w:val="36"/>
          <w:lang w:val="en-US" w:eastAsia="zh-CN"/>
        </w:rPr>
      </w:pPr>
      <w:r>
        <w:rPr>
          <w:rFonts w:hint="eastAsia" w:ascii="仿宋" w:hAnsi="仿宋" w:eastAsia="仿宋" w:cs="仿宋"/>
          <w:b/>
          <w:bCs/>
          <w:sz w:val="28"/>
          <w:szCs w:val="36"/>
          <w:lang w:val="en-US" w:eastAsia="zh-CN"/>
        </w:rPr>
        <w:t>康巴什校区图书馆两侧硬化改造项目</w:t>
      </w:r>
    </w:p>
    <w:p>
      <w:pPr>
        <w:spacing w:line="500" w:lineRule="exact"/>
        <w:jc w:val="center"/>
        <w:rPr>
          <w:rFonts w:hint="eastAsia" w:ascii="仿宋" w:hAnsi="仿宋" w:eastAsia="仿宋" w:cs="仿宋"/>
          <w:b/>
          <w:sz w:val="32"/>
          <w:szCs w:val="32"/>
        </w:rPr>
      </w:pPr>
      <w:r>
        <w:rPr>
          <w:rFonts w:hint="eastAsia" w:ascii="仿宋" w:hAnsi="仿宋" w:eastAsia="仿宋" w:cs="仿宋"/>
          <w:b/>
          <w:sz w:val="32"/>
          <w:szCs w:val="32"/>
        </w:rPr>
        <w:t>工程量清单编制说明</w:t>
      </w:r>
    </w:p>
    <w:tbl>
      <w:tblPr>
        <w:tblStyle w:val="6"/>
        <w:tblW w:w="9675" w:type="dxa"/>
        <w:tblInd w:w="6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6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75" w:hRule="atLeast"/>
        </w:trPr>
        <w:tc>
          <w:tcPr>
            <w:tcW w:w="9675" w:type="dxa"/>
          </w:tcPr>
          <w:p>
            <w:pPr>
              <w:spacing w:line="360" w:lineRule="auto"/>
              <w:rPr>
                <w:rFonts w:hint="eastAsia" w:ascii="仿宋" w:hAnsi="仿宋" w:eastAsia="仿宋" w:cs="仿宋"/>
                <w:sz w:val="24"/>
                <w:lang w:val="en-US" w:eastAsia="zh-CN"/>
              </w:rPr>
            </w:pPr>
            <w:r>
              <w:rPr>
                <w:rFonts w:hint="eastAsia" w:ascii="仿宋" w:hAnsi="仿宋" w:eastAsia="仿宋" w:cs="仿宋"/>
                <w:sz w:val="24"/>
              </w:rPr>
              <w:t>工程项目名称：</w:t>
            </w:r>
            <w:r>
              <w:rPr>
                <w:rFonts w:hint="eastAsia" w:ascii="仿宋" w:hAnsi="仿宋" w:eastAsia="仿宋" w:cs="仿宋"/>
                <w:sz w:val="24"/>
                <w:lang w:val="en-US" w:eastAsia="zh-CN"/>
              </w:rPr>
              <w:t>康巴什校区图书馆两侧硬化改造项目</w:t>
            </w:r>
          </w:p>
          <w:p>
            <w:pPr>
              <w:rPr>
                <w:rFonts w:hint="eastAsia" w:ascii="仿宋" w:hAnsi="仿宋" w:eastAsia="仿宋" w:cs="仿宋"/>
                <w:b/>
                <w:bCs/>
                <w:sz w:val="24"/>
              </w:rPr>
            </w:pPr>
            <w:r>
              <w:rPr>
                <w:rFonts w:hint="eastAsia" w:ascii="仿宋" w:hAnsi="仿宋" w:eastAsia="仿宋" w:cs="仿宋"/>
                <w:b/>
                <w:bCs/>
                <w:sz w:val="24"/>
              </w:rPr>
              <w:t>一、</w:t>
            </w:r>
            <w:r>
              <w:rPr>
                <w:rFonts w:hint="eastAsia" w:ascii="仿宋" w:hAnsi="仿宋" w:eastAsia="仿宋" w:cs="仿宋"/>
                <w:sz w:val="24"/>
              </w:rPr>
              <w:t>工程概况</w:t>
            </w:r>
            <w:r>
              <w:rPr>
                <w:rFonts w:hint="eastAsia" w:ascii="仿宋" w:hAnsi="仿宋" w:eastAsia="仿宋" w:cs="仿宋"/>
                <w:b/>
                <w:bCs/>
                <w:sz w:val="24"/>
              </w:rPr>
              <w:t>：</w:t>
            </w:r>
          </w:p>
          <w:p>
            <w:pPr>
              <w:spacing w:line="360" w:lineRule="auto"/>
              <w:ind w:firstLine="480" w:firstLineChars="200"/>
              <w:rPr>
                <w:rFonts w:hint="default" w:ascii="仿宋" w:hAnsi="仿宋" w:eastAsia="仿宋" w:cs="仿宋"/>
                <w:sz w:val="24"/>
                <w:lang w:val="en-US" w:eastAsia="zh-CN"/>
              </w:rPr>
            </w:pPr>
            <w:r>
              <w:rPr>
                <w:rFonts w:hint="eastAsia" w:ascii="仿宋" w:hAnsi="仿宋" w:eastAsia="仿宋" w:cs="仿宋"/>
                <w:sz w:val="24"/>
              </w:rPr>
              <w:t>本工程施工地点：</w:t>
            </w:r>
            <w:r>
              <w:rPr>
                <w:rFonts w:hint="eastAsia" w:ascii="仿宋" w:hAnsi="仿宋" w:eastAsia="仿宋" w:cs="仿宋"/>
                <w:sz w:val="24"/>
                <w:lang w:val="en-US" w:eastAsia="zh-CN"/>
              </w:rPr>
              <w:t>康巴什区</w:t>
            </w:r>
            <w:bookmarkStart w:id="0" w:name="_GoBack"/>
            <w:bookmarkEnd w:id="0"/>
          </w:p>
          <w:p>
            <w:pPr>
              <w:spacing w:line="360" w:lineRule="auto"/>
              <w:ind w:firstLine="480" w:firstLineChars="200"/>
              <w:rPr>
                <w:rFonts w:hint="eastAsia" w:ascii="仿宋" w:hAnsi="仿宋" w:eastAsia="仿宋" w:cs="仿宋"/>
                <w:sz w:val="24"/>
                <w:lang w:val="en-US" w:eastAsia="zh-CN"/>
              </w:rPr>
            </w:pPr>
            <w:r>
              <w:rPr>
                <w:rFonts w:hint="eastAsia" w:ascii="仿宋" w:hAnsi="仿宋" w:eastAsia="仿宋" w:cs="仿宋"/>
                <w:sz w:val="24"/>
                <w:lang w:val="en-US" w:eastAsia="zh-CN"/>
              </w:rPr>
              <w:t>改造内容:</w:t>
            </w:r>
          </w:p>
          <w:p>
            <w:pPr>
              <w:spacing w:line="500" w:lineRule="exact"/>
              <w:ind w:firstLine="480" w:firstLineChars="200"/>
              <w:rPr>
                <w:rFonts w:hint="eastAsia" w:ascii="仿宋" w:hAnsi="仿宋" w:eastAsia="仿宋" w:cs="仿宋"/>
                <w:sz w:val="24"/>
                <w:lang w:val="en-US" w:eastAsia="zh-CN"/>
              </w:rPr>
            </w:pPr>
            <w:r>
              <w:rPr>
                <w:rFonts w:hint="eastAsia" w:ascii="仿宋" w:hAnsi="仿宋" w:eastAsia="仿宋" w:cs="仿宋"/>
                <w:sz w:val="24"/>
                <w:lang w:val="en-US" w:eastAsia="zh-CN"/>
              </w:rPr>
              <w:t>1、图书馆周边、广场东西两侧 a硬化改造,b消防车道维修,c建筑散水,d路缘石,e台阶维修,f更换场地内井盖,g安装太阳能灯,h入口处增加电动液压升降柱。</w:t>
            </w:r>
          </w:p>
          <w:p>
            <w:pPr>
              <w:spacing w:line="500" w:lineRule="exact"/>
              <w:ind w:firstLine="480" w:firstLineChars="200"/>
              <w:rPr>
                <w:rFonts w:hint="eastAsia" w:ascii="仿宋" w:hAnsi="仿宋" w:eastAsia="仿宋" w:cs="仿宋"/>
                <w:sz w:val="24"/>
                <w:lang w:val="en-US" w:eastAsia="zh-CN"/>
              </w:rPr>
            </w:pPr>
            <w:r>
              <w:rPr>
                <w:rFonts w:hint="eastAsia" w:ascii="仿宋" w:hAnsi="仿宋" w:eastAsia="仿宋" w:cs="仿宋"/>
                <w:sz w:val="24"/>
                <w:lang w:val="en-US" w:eastAsia="zh-CN"/>
              </w:rPr>
              <w:t xml:space="preserve">2、原图书馆周边、广场东西两侧硬化的总占地面积为6936平方米。其中原工字砖硬化6060平方米,花岗岩石材板硬化876平方米。改造后花岗岩石材板消防车道,消防登高操作场地及特殊做法消防通道，其他花岗岩石材板硬化。  </w:t>
            </w:r>
          </w:p>
          <w:p>
            <w:pPr>
              <w:spacing w:line="500" w:lineRule="exact"/>
              <w:ind w:firstLine="480" w:firstLineChars="200"/>
              <w:rPr>
                <w:rFonts w:hint="eastAsia" w:ascii="仿宋" w:hAnsi="仿宋" w:eastAsia="仿宋" w:cs="仿宋"/>
                <w:sz w:val="24"/>
                <w:lang w:val="en-US" w:eastAsia="zh-CN"/>
              </w:rPr>
            </w:pPr>
            <w:r>
              <w:rPr>
                <w:rFonts w:hint="eastAsia" w:ascii="仿宋" w:hAnsi="仿宋" w:eastAsia="仿宋" w:cs="仿宋"/>
                <w:sz w:val="24"/>
                <w:lang w:val="en-US" w:eastAsia="zh-CN"/>
              </w:rPr>
              <w:t>3、更换花岗岩路缘石854米,其中入口处采用花岗岩弧形路缘石24m。</w:t>
            </w:r>
          </w:p>
          <w:p>
            <w:pPr>
              <w:spacing w:line="500" w:lineRule="exact"/>
              <w:ind w:firstLine="480" w:firstLineChars="200"/>
              <w:rPr>
                <w:rFonts w:hint="eastAsia" w:ascii="仿宋" w:hAnsi="仿宋" w:eastAsia="仿宋" w:cs="仿宋"/>
                <w:sz w:val="24"/>
                <w:lang w:val="en-US" w:eastAsia="zh-CN"/>
              </w:rPr>
            </w:pPr>
            <w:r>
              <w:rPr>
                <w:rFonts w:hint="eastAsia" w:ascii="仿宋" w:hAnsi="仿宋" w:eastAsia="仿宋" w:cs="仿宋"/>
                <w:sz w:val="24"/>
                <w:lang w:val="en-US" w:eastAsia="zh-CN"/>
              </w:rPr>
              <w:t>4、拆除重浇筑图书馆南入口处15m长1.65m高11步大台阶,台阶面积80.25平方米, 广场北侧14.5m长1.2m高8步花岗岩板台阶,台阶面积34.8平方米,台阶维修后应恢复原有台阶照明设施(仅更换22灯具)。</w:t>
            </w:r>
          </w:p>
          <w:p>
            <w:pPr>
              <w:spacing w:line="500" w:lineRule="exact"/>
              <w:ind w:firstLine="480" w:firstLineChars="200"/>
              <w:rPr>
                <w:rFonts w:hint="eastAsia" w:ascii="仿宋" w:hAnsi="仿宋" w:eastAsia="仿宋" w:cs="仿宋"/>
                <w:sz w:val="24"/>
                <w:lang w:val="en-US" w:eastAsia="zh-CN"/>
              </w:rPr>
            </w:pPr>
            <w:r>
              <w:rPr>
                <w:rFonts w:hint="eastAsia" w:ascii="仿宋" w:hAnsi="仿宋" w:eastAsia="仿宋" w:cs="仿宋"/>
                <w:sz w:val="24"/>
                <w:lang w:val="en-US" w:eastAsia="zh-CN"/>
              </w:rPr>
              <w:t>5、维修改造范围内42个原有检查井的井口,并更换井筒、井圈、井盖(球墨铸铁外方内圆井盖)。</w:t>
            </w:r>
          </w:p>
          <w:p>
            <w:pPr>
              <w:spacing w:line="500" w:lineRule="exact"/>
              <w:ind w:firstLine="480" w:firstLineChars="200"/>
              <w:rPr>
                <w:rFonts w:hint="eastAsia" w:ascii="仿宋" w:hAnsi="仿宋" w:eastAsia="仿宋" w:cs="仿宋"/>
                <w:sz w:val="24"/>
                <w:lang w:val="en-US" w:eastAsia="zh-CN"/>
              </w:rPr>
            </w:pPr>
            <w:r>
              <w:rPr>
                <w:rFonts w:hint="eastAsia" w:ascii="仿宋" w:hAnsi="仿宋" w:eastAsia="仿宋" w:cs="仿宋"/>
                <w:sz w:val="24"/>
                <w:lang w:val="en-US" w:eastAsia="zh-CN"/>
              </w:rPr>
              <w:t>6、入口处设置成品电动升降柱,东侧8个、西侧7个,高出地面0.6m壁厚10mm设排水管及防水层。</w:t>
            </w:r>
          </w:p>
          <w:p>
            <w:pPr>
              <w:spacing w:line="500" w:lineRule="exact"/>
              <w:rPr>
                <w:rFonts w:hint="eastAsia" w:ascii="仿宋" w:hAnsi="仿宋" w:eastAsia="仿宋" w:cs="仿宋"/>
                <w:sz w:val="24"/>
                <w:lang w:val="en-US" w:eastAsia="zh-CN"/>
              </w:rPr>
            </w:pPr>
            <w:r>
              <w:rPr>
                <w:rFonts w:hint="eastAsia" w:ascii="仿宋" w:hAnsi="仿宋" w:eastAsia="仿宋" w:cs="仿宋"/>
                <w:sz w:val="24"/>
                <w:lang w:val="en-US" w:eastAsia="zh-CN"/>
              </w:rPr>
              <w:t>7、广场两侧新安装150w太阳能灯共计16盏,杆高6m;灯杆功率配置、基础等由厂家提供。</w:t>
            </w:r>
          </w:p>
          <w:p>
            <w:pPr>
              <w:spacing w:line="500" w:lineRule="exact"/>
              <w:ind w:firstLine="480" w:firstLineChars="200"/>
              <w:rPr>
                <w:rFonts w:hint="eastAsia" w:ascii="仿宋" w:hAnsi="仿宋" w:eastAsia="仿宋" w:cs="仿宋"/>
                <w:sz w:val="24"/>
                <w:lang w:val="en-US" w:eastAsia="zh-CN"/>
              </w:rPr>
            </w:pPr>
            <w:r>
              <w:rPr>
                <w:rFonts w:hint="eastAsia" w:ascii="仿宋" w:hAnsi="仿宋" w:eastAsia="仿宋" w:cs="仿宋"/>
                <w:sz w:val="24"/>
                <w:lang w:val="en-US" w:eastAsia="zh-CN"/>
              </w:rPr>
              <w:t>8、维修雨水管网后恢复沥青混凝土路面,局部石材硬化,安装电动升降柱电线后恢复工字砖硬化。</w:t>
            </w:r>
          </w:p>
          <w:p>
            <w:pPr>
              <w:numPr>
                <w:ilvl w:val="0"/>
                <w:numId w:val="1"/>
              </w:numPr>
              <w:spacing w:line="360" w:lineRule="auto"/>
              <w:rPr>
                <w:rFonts w:hint="eastAsia" w:ascii="仿宋" w:hAnsi="仿宋" w:eastAsia="仿宋" w:cs="仿宋"/>
                <w:b w:val="0"/>
                <w:bCs w:val="0"/>
                <w:sz w:val="24"/>
              </w:rPr>
            </w:pPr>
            <w:r>
              <w:rPr>
                <w:rFonts w:hint="eastAsia" w:ascii="仿宋" w:hAnsi="仿宋" w:eastAsia="仿宋" w:cs="仿宋"/>
                <w:b w:val="0"/>
                <w:bCs w:val="0"/>
                <w:sz w:val="24"/>
              </w:rPr>
              <w:t>工程清单编制依据：</w:t>
            </w:r>
          </w:p>
          <w:p>
            <w:pPr>
              <w:spacing w:line="360" w:lineRule="auto"/>
              <w:ind w:firstLine="480" w:firstLineChars="200"/>
              <w:rPr>
                <w:rFonts w:hint="eastAsia" w:ascii="仿宋" w:hAnsi="仿宋" w:eastAsia="仿宋" w:cs="仿宋"/>
                <w:sz w:val="24"/>
              </w:rPr>
            </w:pPr>
            <w:r>
              <w:rPr>
                <w:rFonts w:hint="eastAsia" w:ascii="仿宋" w:hAnsi="仿宋" w:eastAsia="仿宋" w:cs="仿宋"/>
                <w:sz w:val="24"/>
              </w:rPr>
              <w:t>1、《建设工程工程量清单计价规范 》GB 50500-2013、《房屋建筑与装饰工程工程量计算规范》GB 50854-2013、《安装工程工程量计算规范》GB 50856-2013等解释和勘误以及现行文件编制，税金执行内建工（2019）113号文件9%计取，规费执行内建工（2019）468号文件计取；</w:t>
            </w:r>
          </w:p>
          <w:p>
            <w:pPr>
              <w:spacing w:line="360" w:lineRule="auto"/>
              <w:ind w:firstLine="480" w:firstLineChars="200"/>
              <w:rPr>
                <w:rFonts w:hint="eastAsia" w:ascii="仿宋" w:hAnsi="仿宋" w:eastAsia="仿宋" w:cs="仿宋"/>
                <w:sz w:val="24"/>
              </w:rPr>
            </w:pPr>
            <w:r>
              <w:rPr>
                <w:rFonts w:hint="eastAsia" w:ascii="仿宋" w:hAnsi="仿宋" w:eastAsia="仿宋" w:cs="仿宋"/>
                <w:sz w:val="24"/>
              </w:rPr>
              <w:t>2、与本工程有关的图集、规范、技术资料等；</w:t>
            </w:r>
          </w:p>
          <w:p>
            <w:pPr>
              <w:spacing w:line="360" w:lineRule="auto"/>
              <w:ind w:firstLine="480" w:firstLineChars="200"/>
              <w:rPr>
                <w:rFonts w:hint="eastAsia" w:ascii="仿宋" w:hAnsi="仿宋" w:eastAsia="仿宋" w:cs="仿宋"/>
                <w:sz w:val="24"/>
              </w:rPr>
            </w:pPr>
            <w:r>
              <w:rPr>
                <w:rFonts w:hint="eastAsia" w:ascii="仿宋" w:hAnsi="仿宋" w:eastAsia="仿宋" w:cs="仿宋"/>
                <w:sz w:val="24"/>
              </w:rPr>
              <w:t>3、工程量清单依据施工图编制,详见工程量清单；</w:t>
            </w:r>
          </w:p>
          <w:p>
            <w:pPr>
              <w:pStyle w:val="4"/>
              <w:ind w:firstLine="480" w:firstLineChars="200"/>
              <w:rPr>
                <w:rFonts w:hint="eastAsia" w:ascii="仿宋" w:hAnsi="仿宋" w:eastAsia="仿宋" w:cs="仿宋"/>
                <w:sz w:val="24"/>
              </w:rPr>
            </w:pPr>
            <w:r>
              <w:rPr>
                <w:rFonts w:hint="eastAsia" w:ascii="仿宋" w:hAnsi="仿宋" w:eastAsia="仿宋" w:cs="仿宋"/>
                <w:sz w:val="24"/>
                <w:highlight w:val="none"/>
                <w:lang w:val="en-US" w:eastAsia="zh-CN"/>
              </w:rPr>
              <w:t>4、</w:t>
            </w:r>
            <w:r>
              <w:rPr>
                <w:rFonts w:hint="eastAsia" w:ascii="仿宋" w:hAnsi="仿宋" w:eastAsia="仿宋" w:cs="仿宋"/>
                <w:sz w:val="24"/>
              </w:rPr>
              <w:t>本工程的混凝土均为商品混凝土，商砼运输运距</w:t>
            </w:r>
            <w:r>
              <w:rPr>
                <w:rFonts w:hint="eastAsia" w:ascii="仿宋" w:hAnsi="仿宋" w:eastAsia="仿宋" w:cs="仿宋"/>
                <w:sz w:val="24"/>
                <w:lang w:val="en-US" w:eastAsia="zh-CN"/>
              </w:rPr>
              <w:t>自行考虑</w:t>
            </w:r>
            <w:r>
              <w:rPr>
                <w:rFonts w:hint="eastAsia" w:ascii="仿宋" w:hAnsi="仿宋" w:eastAsia="仿宋" w:cs="仿宋"/>
                <w:sz w:val="24"/>
              </w:rPr>
              <w:t>；</w:t>
            </w:r>
          </w:p>
          <w:p>
            <w:pPr>
              <w:pStyle w:val="4"/>
              <w:rPr>
                <w:rFonts w:hint="eastAsia" w:ascii="仿宋" w:hAnsi="仿宋" w:eastAsia="仿宋" w:cs="仿宋"/>
                <w:b w:val="0"/>
                <w:bCs w:val="0"/>
                <w:lang w:eastAsia="zh-CN"/>
              </w:rPr>
            </w:pPr>
            <w:r>
              <w:rPr>
                <w:rFonts w:hint="eastAsia" w:ascii="仿宋" w:hAnsi="仿宋" w:eastAsia="仿宋" w:cs="仿宋"/>
                <w:b w:val="0"/>
                <w:bCs w:val="0"/>
                <w:sz w:val="24"/>
              </w:rPr>
              <w:t>三、编制范围：清单内所有工程量。</w:t>
            </w:r>
          </w:p>
          <w:p>
            <w:pPr>
              <w:numPr>
                <w:ilvl w:val="0"/>
                <w:numId w:val="0"/>
              </w:numPr>
              <w:spacing w:line="360" w:lineRule="auto"/>
              <w:rPr>
                <w:rFonts w:hint="eastAsia" w:ascii="仿宋" w:hAnsi="仿宋" w:eastAsia="仿宋" w:cs="仿宋"/>
                <w:b w:val="0"/>
                <w:bCs w:val="0"/>
                <w:color w:val="FF0000"/>
                <w:sz w:val="24"/>
                <w:lang w:val="en-US" w:eastAsia="zh-CN"/>
              </w:rPr>
            </w:pPr>
            <w:r>
              <w:rPr>
                <w:rFonts w:hint="eastAsia" w:ascii="仿宋" w:hAnsi="仿宋" w:eastAsia="仿宋" w:cs="仿宋"/>
                <w:b w:val="0"/>
                <w:bCs w:val="0"/>
                <w:sz w:val="24"/>
                <w:lang w:val="en-US" w:eastAsia="zh-CN"/>
              </w:rPr>
              <w:t>四、</w:t>
            </w:r>
            <w:r>
              <w:rPr>
                <w:rFonts w:hint="eastAsia" w:ascii="仿宋" w:hAnsi="仿宋" w:eastAsia="仿宋" w:cs="仿宋"/>
                <w:color w:val="auto"/>
                <w:sz w:val="24"/>
                <w:highlight w:val="none"/>
              </w:rPr>
              <w:t>暂列金</w:t>
            </w:r>
            <w:r>
              <w:rPr>
                <w:rFonts w:hint="eastAsia" w:ascii="仿宋" w:hAnsi="仿宋" w:eastAsia="仿宋" w:cs="仿宋"/>
                <w:b/>
                <w:bCs/>
                <w:color w:val="auto"/>
                <w:sz w:val="24"/>
                <w:highlight w:val="none"/>
              </w:rPr>
              <w:t>：</w:t>
            </w:r>
            <w:r>
              <w:rPr>
                <w:rFonts w:hint="eastAsia" w:ascii="仿宋" w:hAnsi="仿宋" w:eastAsia="仿宋" w:cs="仿宋"/>
                <w:color w:val="auto"/>
                <w:sz w:val="24"/>
                <w:highlight w:val="none"/>
                <w:lang w:val="en-US" w:eastAsia="zh-CN"/>
              </w:rPr>
              <w:t>100000元（含税）</w:t>
            </w:r>
            <w:r>
              <w:rPr>
                <w:rFonts w:hint="eastAsia" w:ascii="仿宋" w:hAnsi="仿宋" w:eastAsia="仿宋" w:cs="仿宋"/>
                <w:b w:val="0"/>
                <w:bCs w:val="0"/>
                <w:sz w:val="24"/>
                <w:highlight w:val="none"/>
                <w:lang w:val="en-US" w:eastAsia="zh-CN"/>
              </w:rPr>
              <w:t>。</w:t>
            </w:r>
          </w:p>
          <w:p>
            <w:pPr>
              <w:numPr>
                <w:ilvl w:val="0"/>
                <w:numId w:val="2"/>
              </w:numPr>
              <w:spacing w:line="360" w:lineRule="auto"/>
              <w:rPr>
                <w:rFonts w:hint="eastAsia" w:ascii="仿宋" w:hAnsi="仿宋" w:eastAsia="仿宋" w:cs="仿宋"/>
                <w:b w:val="0"/>
                <w:bCs w:val="0"/>
                <w:sz w:val="24"/>
              </w:rPr>
            </w:pPr>
            <w:r>
              <w:rPr>
                <w:rFonts w:hint="eastAsia" w:ascii="仿宋" w:hAnsi="仿宋" w:eastAsia="仿宋" w:cs="仿宋"/>
                <w:b w:val="0"/>
                <w:bCs w:val="0"/>
                <w:sz w:val="24"/>
              </w:rPr>
              <w:t>本工程</w:t>
            </w:r>
            <w:r>
              <w:rPr>
                <w:rFonts w:hint="eastAsia" w:ascii="仿宋" w:hAnsi="仿宋" w:eastAsia="仿宋" w:cs="仿宋"/>
                <w:b w:val="0"/>
                <w:bCs w:val="0"/>
                <w:sz w:val="24"/>
                <w:lang w:val="en-US" w:eastAsia="zh-CN"/>
              </w:rPr>
              <w:t>不</w:t>
            </w:r>
            <w:r>
              <w:rPr>
                <w:rFonts w:hint="eastAsia" w:ascii="仿宋" w:hAnsi="仿宋" w:eastAsia="仿宋" w:cs="仿宋"/>
                <w:b w:val="0"/>
                <w:bCs w:val="0"/>
                <w:sz w:val="24"/>
              </w:rPr>
              <w:t>设</w:t>
            </w:r>
            <w:r>
              <w:rPr>
                <w:rFonts w:hint="eastAsia" w:ascii="仿宋" w:hAnsi="仿宋" w:eastAsia="仿宋" w:cs="仿宋"/>
                <w:b w:val="0"/>
                <w:bCs w:val="0"/>
                <w:sz w:val="24"/>
                <w:lang w:val="en-US" w:eastAsia="zh-CN"/>
              </w:rPr>
              <w:t>计</w:t>
            </w:r>
            <w:r>
              <w:rPr>
                <w:rFonts w:hint="eastAsia" w:ascii="仿宋" w:hAnsi="仿宋" w:eastAsia="仿宋" w:cs="仿宋"/>
                <w:b w:val="0"/>
                <w:bCs w:val="0"/>
                <w:sz w:val="24"/>
              </w:rPr>
              <w:t>日工。</w:t>
            </w:r>
          </w:p>
          <w:p>
            <w:pPr>
              <w:spacing w:line="360" w:lineRule="auto"/>
              <w:rPr>
                <w:rFonts w:hint="eastAsia" w:ascii="仿宋" w:hAnsi="仿宋" w:eastAsia="仿宋" w:cs="仿宋"/>
                <w:b w:val="0"/>
                <w:bCs w:val="0"/>
                <w:sz w:val="24"/>
              </w:rPr>
            </w:pPr>
            <w:r>
              <w:rPr>
                <w:rFonts w:hint="eastAsia" w:ascii="仿宋" w:hAnsi="仿宋" w:eastAsia="仿宋" w:cs="仿宋"/>
                <w:b w:val="0"/>
                <w:bCs w:val="0"/>
                <w:sz w:val="24"/>
                <w:lang w:val="en-US" w:eastAsia="zh-CN"/>
              </w:rPr>
              <w:t>六</w:t>
            </w:r>
            <w:r>
              <w:rPr>
                <w:rFonts w:hint="eastAsia" w:ascii="仿宋" w:hAnsi="仿宋" w:eastAsia="仿宋" w:cs="仿宋"/>
                <w:b w:val="0"/>
                <w:bCs w:val="0"/>
                <w:sz w:val="24"/>
              </w:rPr>
              <w:t>、其他说明事项</w:t>
            </w:r>
          </w:p>
          <w:p>
            <w:pPr>
              <w:numPr>
                <w:ilvl w:val="0"/>
                <w:numId w:val="3"/>
              </w:numPr>
              <w:spacing w:line="360" w:lineRule="auto"/>
              <w:rPr>
                <w:rFonts w:hint="eastAsia" w:ascii="仿宋" w:hAnsi="仿宋" w:eastAsia="仿宋" w:cs="仿宋"/>
                <w:sz w:val="24"/>
              </w:rPr>
            </w:pPr>
            <w:r>
              <w:rPr>
                <w:rFonts w:hint="eastAsia" w:ascii="仿宋" w:hAnsi="仿宋" w:eastAsia="仿宋" w:cs="仿宋"/>
                <w:sz w:val="24"/>
              </w:rPr>
              <w:t>一般说明</w:t>
            </w:r>
          </w:p>
          <w:p>
            <w:pPr>
              <w:numPr>
                <w:ilvl w:val="0"/>
                <w:numId w:val="4"/>
              </w:numPr>
              <w:spacing w:line="360" w:lineRule="auto"/>
              <w:rPr>
                <w:rFonts w:hint="eastAsia" w:ascii="仿宋" w:hAnsi="仿宋" w:eastAsia="仿宋" w:cs="仿宋"/>
                <w:sz w:val="24"/>
              </w:rPr>
            </w:pPr>
            <w:r>
              <w:rPr>
                <w:rFonts w:hint="eastAsia" w:ascii="仿宋" w:hAnsi="仿宋" w:eastAsia="仿宋" w:cs="仿宋"/>
                <w:sz w:val="24"/>
              </w:rPr>
              <w:t>本工程投标报价按《建设工程工程量清单计价规范》 、《房屋建筑与装饰工程工程量计算规范》的规定及要求，使用表格及格式按《建设工程工程量清单计价规范》要求执行，有更正的以勘误和解释为准。</w:t>
            </w:r>
          </w:p>
          <w:p>
            <w:pPr>
              <w:numPr>
                <w:ilvl w:val="0"/>
                <w:numId w:val="4"/>
              </w:numPr>
              <w:spacing w:line="360" w:lineRule="auto"/>
              <w:rPr>
                <w:rFonts w:hint="eastAsia" w:ascii="仿宋" w:hAnsi="仿宋" w:eastAsia="仿宋" w:cs="仿宋"/>
                <w:sz w:val="24"/>
              </w:rPr>
            </w:pPr>
            <w:r>
              <w:rPr>
                <w:rFonts w:hint="eastAsia" w:ascii="仿宋" w:hAnsi="仿宋" w:eastAsia="仿宋" w:cs="仿宋"/>
                <w:sz w:val="24"/>
              </w:rPr>
              <w:t>工程量清单中每一个项目，都需填入综合单价及合价，对于没有填入综合单价及合价的项目，不同单项及单位工程中的分部分项工程量清单中相同项目（项目特征及工作内容相同）的报价应统一，如有差异，按最低一个报价进行结算。</w:t>
            </w:r>
          </w:p>
          <w:p>
            <w:pPr>
              <w:numPr>
                <w:ilvl w:val="0"/>
                <w:numId w:val="4"/>
              </w:numPr>
              <w:spacing w:line="360" w:lineRule="auto"/>
              <w:rPr>
                <w:rFonts w:hint="eastAsia" w:ascii="仿宋" w:hAnsi="仿宋" w:eastAsia="仿宋" w:cs="仿宋"/>
                <w:sz w:val="24"/>
              </w:rPr>
            </w:pPr>
            <w:r>
              <w:rPr>
                <w:rFonts w:hint="eastAsia" w:ascii="仿宋" w:hAnsi="仿宋" w:eastAsia="仿宋" w:cs="仿宋"/>
                <w:sz w:val="24"/>
              </w:rPr>
              <w:t>《承包人提供材料和工程设备一览表》中的材料价格应与综合单价及《综合单价分析表》中的材料价格一致。</w:t>
            </w:r>
          </w:p>
          <w:p>
            <w:pPr>
              <w:numPr>
                <w:ilvl w:val="0"/>
                <w:numId w:val="4"/>
              </w:numPr>
              <w:spacing w:line="360" w:lineRule="auto"/>
              <w:rPr>
                <w:rFonts w:hint="eastAsia" w:ascii="仿宋" w:hAnsi="仿宋" w:eastAsia="仿宋" w:cs="仿宋"/>
                <w:sz w:val="24"/>
              </w:rPr>
            </w:pPr>
            <w:r>
              <w:rPr>
                <w:rFonts w:hint="eastAsia" w:ascii="仿宋" w:hAnsi="仿宋" w:eastAsia="仿宋" w:cs="仿宋"/>
                <w:sz w:val="24"/>
                <w:highlight w:val="none"/>
              </w:rPr>
              <w:t>本工程量清单中的分部分项工程量及措施项目工程量均是根据本工程施工图，按照“工程量计算规范”的规定进行计算的，仅作为施工企业投标报价得共同基础，不能作为最终结算与支付价款的依据，工程量的变化调整以业主与承包商签字的合同约定为准，</w:t>
            </w:r>
            <w:r>
              <w:rPr>
                <w:rFonts w:hint="eastAsia" w:ascii="仿宋" w:hAnsi="仿宋" w:eastAsia="仿宋" w:cs="仿宋"/>
                <w:sz w:val="24"/>
              </w:rPr>
              <w:t>或按《建设工程工程量清单计价规范》有关规定执行。</w:t>
            </w:r>
          </w:p>
          <w:p>
            <w:pPr>
              <w:numPr>
                <w:ilvl w:val="0"/>
                <w:numId w:val="4"/>
              </w:numPr>
              <w:spacing w:line="360" w:lineRule="auto"/>
              <w:rPr>
                <w:rFonts w:hint="eastAsia" w:ascii="仿宋" w:hAnsi="仿宋" w:eastAsia="仿宋" w:cs="仿宋"/>
                <w:sz w:val="24"/>
              </w:rPr>
            </w:pPr>
            <w:r>
              <w:rPr>
                <w:rFonts w:hint="eastAsia" w:ascii="仿宋" w:hAnsi="仿宋" w:eastAsia="仿宋" w:cs="仿宋"/>
                <w:sz w:val="24"/>
              </w:rPr>
              <w:t>工程量清单及其计价格式中的任何内容不得随意删除或涂改，若有错误，在招标答疑时及时提出，以“补遗”资料为准。</w:t>
            </w:r>
          </w:p>
          <w:p>
            <w:pPr>
              <w:numPr>
                <w:ilvl w:val="0"/>
                <w:numId w:val="4"/>
              </w:numPr>
              <w:spacing w:line="360" w:lineRule="auto"/>
              <w:rPr>
                <w:rFonts w:hint="eastAsia" w:ascii="仿宋" w:hAnsi="仿宋" w:eastAsia="仿宋" w:cs="仿宋"/>
                <w:sz w:val="24"/>
                <w:highlight w:val="none"/>
              </w:rPr>
            </w:pPr>
            <w:r>
              <w:rPr>
                <w:rFonts w:hint="eastAsia" w:ascii="仿宋" w:hAnsi="仿宋" w:eastAsia="仿宋" w:cs="仿宋"/>
                <w:sz w:val="24"/>
              </w:rPr>
              <w:t>分部分项工程量清单中对工程项目的项目特征及具体做法只作重点描</w:t>
            </w:r>
            <w:r>
              <w:rPr>
                <w:rFonts w:hint="eastAsia" w:ascii="仿宋" w:hAnsi="仿宋" w:eastAsia="仿宋" w:cs="仿宋"/>
                <w:sz w:val="24"/>
                <w:highlight w:val="none"/>
              </w:rPr>
              <w:t>述，详细情况见技术说明及相关标准图集。（提供图纸）组价时应结合投标人现场勘查情况包括完成所有工序工作内容的全部费用。</w:t>
            </w:r>
          </w:p>
          <w:p>
            <w:pPr>
              <w:pStyle w:val="8"/>
              <w:spacing w:line="360" w:lineRule="auto"/>
              <w:ind w:firstLine="0" w:firstLineChars="0"/>
              <w:rPr>
                <w:rFonts w:hint="eastAsia" w:ascii="仿宋" w:hAnsi="仿宋" w:eastAsia="仿宋" w:cs="仿宋"/>
                <w:sz w:val="24"/>
                <w:szCs w:val="24"/>
              </w:rPr>
            </w:pPr>
            <w:r>
              <w:rPr>
                <w:rFonts w:hint="eastAsia" w:ascii="仿宋" w:hAnsi="仿宋" w:eastAsia="仿宋" w:cs="仿宋"/>
                <w:sz w:val="24"/>
                <w:szCs w:val="24"/>
                <w:highlight w:val="none"/>
              </w:rPr>
              <w:t>（7）本说明未尽事项，以计价规范、工程量计算规范、计价管理办</w:t>
            </w:r>
            <w:r>
              <w:rPr>
                <w:rFonts w:hint="eastAsia" w:ascii="仿宋" w:hAnsi="仿宋" w:eastAsia="仿宋" w:cs="仿宋"/>
                <w:sz w:val="24"/>
                <w:szCs w:val="24"/>
              </w:rPr>
              <w:t>法、招标文件以及有关的法律、法规、建设行政主管部门颁发的文件为准。</w:t>
            </w:r>
          </w:p>
          <w:p>
            <w:pPr>
              <w:pStyle w:val="8"/>
              <w:spacing w:line="360" w:lineRule="auto"/>
              <w:ind w:firstLine="0" w:firstLineChars="0"/>
              <w:rPr>
                <w:rFonts w:hint="eastAsia" w:ascii="仿宋" w:hAnsi="仿宋" w:eastAsia="仿宋" w:cs="仿宋"/>
                <w:sz w:val="24"/>
                <w:szCs w:val="24"/>
                <w:lang w:eastAsia="zh-CN"/>
              </w:rPr>
            </w:pPr>
            <w:r>
              <w:rPr>
                <w:rFonts w:hint="eastAsia" w:ascii="仿宋" w:hAnsi="仿宋" w:eastAsia="仿宋" w:cs="仿宋"/>
                <w:sz w:val="24"/>
                <w:szCs w:val="24"/>
              </w:rPr>
              <w:t>（8）投标人必须按招标工程量清单填报价格。项目编码、项目名称、项目特征、计量单位、工程量必须与招标工程量清单一致</w:t>
            </w:r>
            <w:r>
              <w:rPr>
                <w:rFonts w:hint="eastAsia" w:ascii="仿宋" w:hAnsi="仿宋" w:eastAsia="仿宋" w:cs="仿宋"/>
                <w:sz w:val="24"/>
                <w:szCs w:val="24"/>
                <w:lang w:eastAsia="zh-CN"/>
              </w:rPr>
              <w:t>。</w:t>
            </w:r>
          </w:p>
        </w:tc>
      </w:tr>
    </w:tbl>
    <w:p>
      <w:pPr>
        <w:rPr>
          <w:b/>
          <w:bCs/>
          <w:sz w:val="22"/>
          <w:szCs w:val="28"/>
        </w:rPr>
      </w:pPr>
    </w:p>
    <w:sectPr>
      <w:pgSz w:w="11906" w:h="16838"/>
      <w:pgMar w:top="1440" w:right="1080" w:bottom="1440" w:left="108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5E30798"/>
    <w:multiLevelType w:val="singleLevel"/>
    <w:tmpl w:val="35E30798"/>
    <w:lvl w:ilvl="0" w:tentative="0">
      <w:start w:val="5"/>
      <w:numFmt w:val="chineseCounting"/>
      <w:suff w:val="nothing"/>
      <w:lvlText w:val="%1、"/>
      <w:lvlJc w:val="left"/>
      <w:rPr>
        <w:rFonts w:hint="eastAsia"/>
        <w:b w:val="0"/>
        <w:bCs w:val="0"/>
        <w:color w:val="auto"/>
      </w:rPr>
    </w:lvl>
  </w:abstractNum>
  <w:abstractNum w:abstractNumId="1">
    <w:nsid w:val="55FD275F"/>
    <w:multiLevelType w:val="singleLevel"/>
    <w:tmpl w:val="55FD275F"/>
    <w:lvl w:ilvl="0" w:tentative="0">
      <w:start w:val="1"/>
      <w:numFmt w:val="decimal"/>
      <w:suff w:val="nothing"/>
      <w:lvlText w:val="%1、"/>
      <w:lvlJc w:val="left"/>
    </w:lvl>
  </w:abstractNum>
  <w:abstractNum w:abstractNumId="2">
    <w:nsid w:val="55FD286E"/>
    <w:multiLevelType w:val="singleLevel"/>
    <w:tmpl w:val="55FD286E"/>
    <w:lvl w:ilvl="0" w:tentative="0">
      <w:start w:val="1"/>
      <w:numFmt w:val="decimal"/>
      <w:suff w:val="nothing"/>
      <w:lvlText w:val="（%1）"/>
      <w:lvlJc w:val="left"/>
    </w:lvl>
  </w:abstractNum>
  <w:abstractNum w:abstractNumId="3">
    <w:nsid w:val="7ABA1574"/>
    <w:multiLevelType w:val="singleLevel"/>
    <w:tmpl w:val="7ABA1574"/>
    <w:lvl w:ilvl="0" w:tentative="0">
      <w:start w:val="2"/>
      <w:numFmt w:val="chineseCounting"/>
      <w:suff w:val="nothing"/>
      <w:lvlText w:val="%1、"/>
      <w:lvlJc w:val="left"/>
      <w:rPr>
        <w:rFonts w:hint="eastAsia"/>
      </w:r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cumentProtection w:enforcement="0"/>
  <w:defaultTabStop w:val="420"/>
  <w:drawingGridHorizontalSpacing w:val="105"/>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TBiNDZlYzBhODdkZDNkNjFlMmRmMDZhODFjZDg4YmIifQ=="/>
  </w:docVars>
  <w:rsids>
    <w:rsidRoot w:val="00B73D01"/>
    <w:rsid w:val="0041195C"/>
    <w:rsid w:val="00450F83"/>
    <w:rsid w:val="004D6899"/>
    <w:rsid w:val="0057265F"/>
    <w:rsid w:val="00663A08"/>
    <w:rsid w:val="007145BA"/>
    <w:rsid w:val="00795642"/>
    <w:rsid w:val="007B24A1"/>
    <w:rsid w:val="00817F7B"/>
    <w:rsid w:val="008E230E"/>
    <w:rsid w:val="009758A8"/>
    <w:rsid w:val="00B73D01"/>
    <w:rsid w:val="00C143A2"/>
    <w:rsid w:val="00C2585F"/>
    <w:rsid w:val="00D40F6A"/>
    <w:rsid w:val="00E9689F"/>
    <w:rsid w:val="00F63B30"/>
    <w:rsid w:val="01956AAB"/>
    <w:rsid w:val="02BE3158"/>
    <w:rsid w:val="03240AA1"/>
    <w:rsid w:val="03C52BEB"/>
    <w:rsid w:val="04BD126D"/>
    <w:rsid w:val="05231CE8"/>
    <w:rsid w:val="06D373CC"/>
    <w:rsid w:val="076B4B2E"/>
    <w:rsid w:val="07CD206E"/>
    <w:rsid w:val="08514A4D"/>
    <w:rsid w:val="093D7610"/>
    <w:rsid w:val="0C0F7A6D"/>
    <w:rsid w:val="0C8A2FBA"/>
    <w:rsid w:val="0CDB0231"/>
    <w:rsid w:val="0D200E92"/>
    <w:rsid w:val="0DCB3427"/>
    <w:rsid w:val="0DE34399"/>
    <w:rsid w:val="0DE50598"/>
    <w:rsid w:val="0EB9359A"/>
    <w:rsid w:val="0FB0474F"/>
    <w:rsid w:val="0FD4304A"/>
    <w:rsid w:val="10B33595"/>
    <w:rsid w:val="12B11185"/>
    <w:rsid w:val="1684575B"/>
    <w:rsid w:val="16EF5652"/>
    <w:rsid w:val="1759196E"/>
    <w:rsid w:val="1B556CC6"/>
    <w:rsid w:val="1B960F27"/>
    <w:rsid w:val="1EE066D3"/>
    <w:rsid w:val="1F5225D5"/>
    <w:rsid w:val="22900050"/>
    <w:rsid w:val="22C423A9"/>
    <w:rsid w:val="244D480A"/>
    <w:rsid w:val="24E0742D"/>
    <w:rsid w:val="24F30255"/>
    <w:rsid w:val="270B5F28"/>
    <w:rsid w:val="27B834F1"/>
    <w:rsid w:val="297C7DB6"/>
    <w:rsid w:val="2C526E62"/>
    <w:rsid w:val="2CE15502"/>
    <w:rsid w:val="2D016192"/>
    <w:rsid w:val="2D55028C"/>
    <w:rsid w:val="2E082C92"/>
    <w:rsid w:val="30BB49AA"/>
    <w:rsid w:val="32B55A55"/>
    <w:rsid w:val="331D2230"/>
    <w:rsid w:val="33380434"/>
    <w:rsid w:val="335334BF"/>
    <w:rsid w:val="33BB0093"/>
    <w:rsid w:val="3449414B"/>
    <w:rsid w:val="356523E4"/>
    <w:rsid w:val="35B00755"/>
    <w:rsid w:val="36D85938"/>
    <w:rsid w:val="374643BF"/>
    <w:rsid w:val="38156F95"/>
    <w:rsid w:val="38AE0F46"/>
    <w:rsid w:val="3A1D646F"/>
    <w:rsid w:val="3B752AE3"/>
    <w:rsid w:val="3CCA2A44"/>
    <w:rsid w:val="3FBF23FB"/>
    <w:rsid w:val="400C0C7E"/>
    <w:rsid w:val="42C35F6C"/>
    <w:rsid w:val="44683B03"/>
    <w:rsid w:val="453F3A5A"/>
    <w:rsid w:val="471E7675"/>
    <w:rsid w:val="48644100"/>
    <w:rsid w:val="4ABB577A"/>
    <w:rsid w:val="4BDF193C"/>
    <w:rsid w:val="4CAE758E"/>
    <w:rsid w:val="4E166DCB"/>
    <w:rsid w:val="4EA307A4"/>
    <w:rsid w:val="4EE62762"/>
    <w:rsid w:val="4F583EE0"/>
    <w:rsid w:val="4F6A776F"/>
    <w:rsid w:val="504306EC"/>
    <w:rsid w:val="51AC6A07"/>
    <w:rsid w:val="5281374D"/>
    <w:rsid w:val="52C86492"/>
    <w:rsid w:val="52C97821"/>
    <w:rsid w:val="54085ED4"/>
    <w:rsid w:val="54181ED9"/>
    <w:rsid w:val="54605528"/>
    <w:rsid w:val="54670676"/>
    <w:rsid w:val="551312B6"/>
    <w:rsid w:val="561A52F7"/>
    <w:rsid w:val="562904D6"/>
    <w:rsid w:val="58FE2AF5"/>
    <w:rsid w:val="590260F8"/>
    <w:rsid w:val="59E87B55"/>
    <w:rsid w:val="5A736072"/>
    <w:rsid w:val="5DE6702F"/>
    <w:rsid w:val="5E89349E"/>
    <w:rsid w:val="5F312FF3"/>
    <w:rsid w:val="5FB713E0"/>
    <w:rsid w:val="60D3231F"/>
    <w:rsid w:val="611B6B1B"/>
    <w:rsid w:val="61B40C0A"/>
    <w:rsid w:val="62B33A42"/>
    <w:rsid w:val="64867CAC"/>
    <w:rsid w:val="654E3216"/>
    <w:rsid w:val="65C23A09"/>
    <w:rsid w:val="66882EA5"/>
    <w:rsid w:val="67642FCA"/>
    <w:rsid w:val="67CA4DF7"/>
    <w:rsid w:val="696A25A8"/>
    <w:rsid w:val="6A8219B9"/>
    <w:rsid w:val="6AA302AD"/>
    <w:rsid w:val="6BAD597D"/>
    <w:rsid w:val="6C0677CC"/>
    <w:rsid w:val="6DA35B0F"/>
    <w:rsid w:val="6F013BF3"/>
    <w:rsid w:val="6F1F57B3"/>
    <w:rsid w:val="6FD64C81"/>
    <w:rsid w:val="711358E7"/>
    <w:rsid w:val="71600CA6"/>
    <w:rsid w:val="716D1A54"/>
    <w:rsid w:val="72317104"/>
    <w:rsid w:val="723E70E7"/>
    <w:rsid w:val="7386251A"/>
    <w:rsid w:val="75823A34"/>
    <w:rsid w:val="76287B25"/>
    <w:rsid w:val="764F753B"/>
    <w:rsid w:val="78197384"/>
    <w:rsid w:val="7820185F"/>
    <w:rsid w:val="788D434B"/>
    <w:rsid w:val="792571BC"/>
    <w:rsid w:val="7999330D"/>
    <w:rsid w:val="7B7315D6"/>
    <w:rsid w:val="7BBD60D8"/>
    <w:rsid w:val="7BC75580"/>
    <w:rsid w:val="7C073C1D"/>
    <w:rsid w:val="7D7C100C"/>
    <w:rsid w:val="7DA31A0E"/>
    <w:rsid w:val="7E727550"/>
    <w:rsid w:val="7F60128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qFormat="1" w:unhideWhenUsed="0" w:uiPriority="0" w:semiHidden="0"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10"/>
    <w:unhideWhenUsed/>
    <w:qFormat/>
    <w:uiPriority w:val="99"/>
    <w:pPr>
      <w:tabs>
        <w:tab w:val="center" w:pos="4153"/>
        <w:tab w:val="right" w:pos="8306"/>
      </w:tabs>
      <w:snapToGrid w:val="0"/>
      <w:jc w:val="left"/>
    </w:pPr>
    <w:rPr>
      <w:sz w:val="18"/>
      <w:szCs w:val="18"/>
    </w:rPr>
  </w:style>
  <w:style w:type="paragraph" w:styleId="3">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Body Text 2"/>
    <w:basedOn w:val="1"/>
    <w:qFormat/>
    <w:uiPriority w:val="0"/>
    <w:pPr>
      <w:spacing w:line="480" w:lineRule="auto"/>
    </w:pPr>
  </w:style>
  <w:style w:type="paragraph" w:styleId="5">
    <w:name w:val="Normal (Web)"/>
    <w:basedOn w:val="1"/>
    <w:qFormat/>
    <w:uiPriority w:val="99"/>
    <w:pPr>
      <w:spacing w:before="100" w:beforeAutospacing="1" w:after="100" w:afterAutospacing="1"/>
      <w:jc w:val="left"/>
    </w:pPr>
    <w:rPr>
      <w:rFonts w:ascii="Calibri" w:hAnsi="Calibri"/>
      <w:kern w:val="0"/>
      <w:sz w:val="24"/>
    </w:rPr>
  </w:style>
  <w:style w:type="paragraph" w:customStyle="1" w:styleId="8">
    <w:name w:val="列表段落1"/>
    <w:basedOn w:val="1"/>
    <w:qFormat/>
    <w:uiPriority w:val="34"/>
    <w:pPr>
      <w:ind w:firstLine="420" w:firstLineChars="200"/>
    </w:pPr>
    <w:rPr>
      <w:rFonts w:ascii="Calibri" w:hAnsi="Calibri" w:cs="黑体"/>
      <w:szCs w:val="22"/>
    </w:rPr>
  </w:style>
  <w:style w:type="character" w:customStyle="1" w:styleId="9">
    <w:name w:val="页眉 字符"/>
    <w:basedOn w:val="7"/>
    <w:link w:val="3"/>
    <w:qFormat/>
    <w:uiPriority w:val="99"/>
    <w:rPr>
      <w:rFonts w:ascii="Times New Roman" w:hAnsi="Times New Roman" w:eastAsia="宋体" w:cs="Times New Roman"/>
      <w:sz w:val="18"/>
      <w:szCs w:val="18"/>
    </w:rPr>
  </w:style>
  <w:style w:type="character" w:customStyle="1" w:styleId="10">
    <w:name w:val="页脚 字符"/>
    <w:basedOn w:val="7"/>
    <w:link w:val="2"/>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微软中国</Company>
  <Pages>2</Pages>
  <Words>1393</Words>
  <Characters>1493</Characters>
  <Lines>12</Lines>
  <Paragraphs>3</Paragraphs>
  <TotalTime>0</TotalTime>
  <ScaleCrop>false</ScaleCrop>
  <LinksUpToDate>false</LinksUpToDate>
  <CharactersWithSpaces>1502</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2023-06-01T02:43:00Z</dcterms:created>
  <dc:creator>Administrator</dc:creator>
  <cp:lastModifiedBy>闫丽</cp:lastModifiedBy>
  <dcterms:modified xsi:type="dcterms:W3CDTF">2025-05-12T07:50:46Z</dcterms:modified>
  <dc:title>鄂尔多斯市康巴什新区北部核心区组团L6-01地块6108#楼工程</dc:title>
  <cp:revision>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5259FC1813C54FD8B7BF1F2B92B1F2BA_13</vt:lpwstr>
  </property>
  <property fmtid="{D5CDD505-2E9C-101B-9397-08002B2CF9AE}" pid="4" name="KSOTemplateDocerSaveRecord">
    <vt:lpwstr>eyJoZGlkIjoiOTU1ZTNjMTM3MWQ5ZDAwZTE1ZjBlMzZkYjAzNzI0NTYiLCJ1c2VySWQiOiIyNjI0NzI2MjMifQ==</vt:lpwstr>
  </property>
</Properties>
</file>