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BB07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杭锦旗巴拉贡教师周转房维修工程工程量清单</w:t>
      </w:r>
    </w:p>
    <w:p w14:paraId="405DA438">
      <w:pPr>
        <w:spacing w:line="360" w:lineRule="auto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ascii="仿宋" w:hAnsi="仿宋" w:eastAsia="仿宋" w:cs="仿宋"/>
          <w:b/>
          <w:bCs/>
          <w:spacing w:val="9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编制说</w:t>
      </w:r>
      <w:r>
        <w:rPr>
          <w:rFonts w:ascii="仿宋" w:hAnsi="仿宋" w:eastAsia="仿宋" w:cs="仿宋"/>
          <w:b/>
          <w:bCs/>
          <w:spacing w:val="8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 w14:paraId="4E6DAB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仿宋" w:hAnsi="仿宋" w:eastAsia="仿宋" w:cs="仿宋"/>
          <w:spacing w:val="7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、工程概况</w:t>
      </w:r>
    </w:p>
    <w:p w14:paraId="60716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1、工程名称：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杭锦旗巴拉贡教师周转房维修工程</w:t>
      </w:r>
    </w:p>
    <w:p w14:paraId="52F7C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2、建设单位：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杭锦旗政府投资项目代建中心</w:t>
      </w:r>
    </w:p>
    <w:p w14:paraId="36A3F7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3、建设地点：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杭锦旗巴拉贡镇</w:t>
      </w:r>
    </w:p>
    <w:p w14:paraId="20E8C2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4、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工程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内容：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杭锦旗巴拉贡教师周转房内装修、给排水、采暖、电气配套设施建设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。</w:t>
      </w:r>
    </w:p>
    <w:p w14:paraId="5EE1D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6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、编制依据</w:t>
      </w:r>
    </w:p>
    <w:p w14:paraId="6D0E78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spacing w:val="30"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(一)工程量依据</w:t>
      </w:r>
    </w:p>
    <w:p w14:paraId="44B9E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送审控制价的工程量及工程做法</w:t>
      </w:r>
      <w:r>
        <w:rPr>
          <w:rFonts w:ascii="仿宋" w:hAnsi="仿宋" w:eastAsia="仿宋" w:cs="仿宋"/>
          <w:spacing w:val="34"/>
          <w:sz w:val="24"/>
          <w:szCs w:val="24"/>
        </w:rPr>
        <w:t>；</w:t>
      </w:r>
    </w:p>
    <w:p w14:paraId="696144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34"/>
          <w:sz w:val="24"/>
          <w:szCs w:val="24"/>
        </w:rPr>
        <w:t>2</w:t>
      </w:r>
      <w:r>
        <w:rPr>
          <w:rFonts w:ascii="仿宋" w:hAnsi="仿宋" w:eastAsia="仿宋" w:cs="仿宋"/>
          <w:spacing w:val="20"/>
          <w:sz w:val="24"/>
          <w:szCs w:val="24"/>
        </w:rPr>
        <w:t>、</w:t>
      </w:r>
      <w:r>
        <w:rPr>
          <w:rFonts w:ascii="仿宋" w:hAnsi="仿宋" w:eastAsia="仿宋" w:cs="仿宋"/>
          <w:spacing w:val="17"/>
          <w:sz w:val="24"/>
          <w:szCs w:val="24"/>
        </w:rPr>
        <w:t>与本工程有关的标准(包括标准图集)、规范、技术资料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>；</w:t>
      </w:r>
    </w:p>
    <w:p w14:paraId="07D38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3、审核回复文件。</w:t>
      </w:r>
    </w:p>
    <w:p w14:paraId="7A0420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</w:t>
      </w:r>
      <w:r>
        <w:rPr>
          <w:rFonts w:ascii="仿宋" w:hAnsi="仿宋" w:eastAsia="仿宋" w:cs="仿宋"/>
          <w:b/>
          <w:bCs/>
          <w:spacing w:val="28"/>
          <w:sz w:val="24"/>
          <w:szCs w:val="24"/>
        </w:rPr>
        <w:t>二)法律法规文件</w:t>
      </w:r>
    </w:p>
    <w:p w14:paraId="378FF7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1、《中华人民共和国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民法典</w:t>
      </w:r>
      <w:r>
        <w:rPr>
          <w:rFonts w:ascii="仿宋" w:hAnsi="仿宋" w:eastAsia="仿宋" w:cs="仿宋"/>
          <w:spacing w:val="34"/>
          <w:sz w:val="24"/>
          <w:szCs w:val="24"/>
        </w:rPr>
        <w:t>》；</w:t>
      </w:r>
    </w:p>
    <w:p w14:paraId="3F7F24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2、《工程造价咨询业务操作指导规程》；</w:t>
      </w:r>
    </w:p>
    <w:p w14:paraId="0DF6A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3、《工程造价咨询单位执业行为准则》；</w:t>
      </w:r>
    </w:p>
    <w:p w14:paraId="269A4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4、《建设工程造价咨询规范》GB/T51095-2015。</w:t>
      </w:r>
    </w:p>
    <w:p w14:paraId="3EC107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490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2"/>
          <w:sz w:val="24"/>
          <w:szCs w:val="24"/>
        </w:rPr>
        <w:t>(三) 清单定额执</w:t>
      </w:r>
      <w:r>
        <w:rPr>
          <w:rFonts w:ascii="仿宋" w:hAnsi="仿宋" w:eastAsia="仿宋" w:cs="仿宋"/>
          <w:b/>
          <w:bCs/>
          <w:spacing w:val="1"/>
          <w:sz w:val="24"/>
          <w:szCs w:val="24"/>
        </w:rPr>
        <w:t>行内蒙古自治区建设厅颁布的标准、规范及相关</w:t>
      </w:r>
      <w:r>
        <w:rPr>
          <w:rFonts w:ascii="仿宋" w:hAnsi="仿宋" w:eastAsia="仿宋" w:cs="仿宋"/>
          <w:b/>
          <w:bCs/>
          <w:spacing w:val="-19"/>
          <w:sz w:val="24"/>
          <w:szCs w:val="24"/>
        </w:rPr>
        <w:t>文</w:t>
      </w:r>
      <w:r>
        <w:rPr>
          <w:rFonts w:ascii="仿宋" w:hAnsi="仿宋" w:eastAsia="仿宋" w:cs="仿宋"/>
          <w:b/>
          <w:bCs/>
          <w:spacing w:val="-17"/>
          <w:sz w:val="24"/>
          <w:szCs w:val="24"/>
        </w:rPr>
        <w:t>件</w:t>
      </w:r>
    </w:p>
    <w:p w14:paraId="5DB5CE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1、清单依据《建设工程工程量清单计价规范(GB 50500-2013)》、《房屋建筑与装饰工程工程量清单计价规范(GB 50854-2013)》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《通用安装工程工程量清单计价规范（GB 50856-2013）》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；</w:t>
      </w:r>
    </w:p>
    <w:p w14:paraId="30307F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2、2017年《内蒙古自治区房屋建筑与装饰工程预算定额》；</w:t>
      </w:r>
    </w:p>
    <w:p w14:paraId="07748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3、2017年《内蒙古自治区安装工程预算定额》；</w:t>
      </w:r>
    </w:p>
    <w:p w14:paraId="2BDD25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4、2021年《内蒙古自治区房屋修缮工程预算定额》；</w:t>
      </w:r>
    </w:p>
    <w:p w14:paraId="509441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税金依据[2019]113号文《关于调整内蒙古自治区建设工程计价依据增值税税率的通知》为9%，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人工费调整按照内建[2021]148号文，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2017版《内蒙古自治区建设工程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费用定额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；</w:t>
      </w:r>
    </w:p>
    <w:p w14:paraId="5CDCAB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6、材料价差参考2025年第一期杭锦旗、东胜区、鄂尔多斯市工程造价信息，对于工程造价信息没有发布价格信息的材料，参照定额测定价、广材网及市场价。</w:t>
      </w:r>
    </w:p>
    <w:p w14:paraId="15303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2091CB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523C7B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5" w:h="16840"/>
      <w:pgMar w:top="1440" w:right="1800" w:bottom="1440" w:left="180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VhMWE5MDY4Mjc5YmRjYmU2YzE2ODg1ZTI2NmU4MDcifQ=="/>
    <w:docVar w:name="KSO_WPS_MARK_KEY" w:val="860536ac-94e7-4c8f-a558-baeff6a1f317"/>
  </w:docVars>
  <w:rsids>
    <w:rsidRoot w:val="00E12EF0"/>
    <w:rsid w:val="000E2B7E"/>
    <w:rsid w:val="001A5B82"/>
    <w:rsid w:val="004A6BDF"/>
    <w:rsid w:val="004D0C99"/>
    <w:rsid w:val="006130D0"/>
    <w:rsid w:val="0062637A"/>
    <w:rsid w:val="006842BB"/>
    <w:rsid w:val="00A64F9A"/>
    <w:rsid w:val="00A72727"/>
    <w:rsid w:val="00B23B29"/>
    <w:rsid w:val="00B87BB4"/>
    <w:rsid w:val="00BA4DDC"/>
    <w:rsid w:val="00CB3303"/>
    <w:rsid w:val="00D7522F"/>
    <w:rsid w:val="00E12EF0"/>
    <w:rsid w:val="00F73BA8"/>
    <w:rsid w:val="00F96F9E"/>
    <w:rsid w:val="029C3B08"/>
    <w:rsid w:val="02C976C5"/>
    <w:rsid w:val="05A3050F"/>
    <w:rsid w:val="05D830A9"/>
    <w:rsid w:val="062736E9"/>
    <w:rsid w:val="06F10B69"/>
    <w:rsid w:val="08C6543B"/>
    <w:rsid w:val="09774987"/>
    <w:rsid w:val="0B494599"/>
    <w:rsid w:val="0D0522AA"/>
    <w:rsid w:val="10802373"/>
    <w:rsid w:val="111E3578"/>
    <w:rsid w:val="128D25BF"/>
    <w:rsid w:val="14BF5434"/>
    <w:rsid w:val="198F7ACB"/>
    <w:rsid w:val="1BF65BDF"/>
    <w:rsid w:val="1FED65EB"/>
    <w:rsid w:val="20971013"/>
    <w:rsid w:val="20A83220"/>
    <w:rsid w:val="2141562E"/>
    <w:rsid w:val="22151A80"/>
    <w:rsid w:val="22AD4B1E"/>
    <w:rsid w:val="23891BF0"/>
    <w:rsid w:val="26395046"/>
    <w:rsid w:val="26774F4F"/>
    <w:rsid w:val="27F76F67"/>
    <w:rsid w:val="2ACD2201"/>
    <w:rsid w:val="2E2D6352"/>
    <w:rsid w:val="2F542EF1"/>
    <w:rsid w:val="3104265F"/>
    <w:rsid w:val="3434509F"/>
    <w:rsid w:val="34A73978"/>
    <w:rsid w:val="3645019F"/>
    <w:rsid w:val="37CA01F4"/>
    <w:rsid w:val="37F729EE"/>
    <w:rsid w:val="3ADB2718"/>
    <w:rsid w:val="3BC419C2"/>
    <w:rsid w:val="3D3F6F8E"/>
    <w:rsid w:val="3EBD1A70"/>
    <w:rsid w:val="3F2D5977"/>
    <w:rsid w:val="3FDB0AC5"/>
    <w:rsid w:val="41CC2DBB"/>
    <w:rsid w:val="42D83553"/>
    <w:rsid w:val="44867251"/>
    <w:rsid w:val="44B82847"/>
    <w:rsid w:val="44DB094F"/>
    <w:rsid w:val="44EE4B49"/>
    <w:rsid w:val="45E348EC"/>
    <w:rsid w:val="470E79D1"/>
    <w:rsid w:val="480F1C53"/>
    <w:rsid w:val="4B9132B3"/>
    <w:rsid w:val="4FD712A8"/>
    <w:rsid w:val="4FEA28BF"/>
    <w:rsid w:val="5012408F"/>
    <w:rsid w:val="51BF0246"/>
    <w:rsid w:val="520143BB"/>
    <w:rsid w:val="52495D62"/>
    <w:rsid w:val="52E02222"/>
    <w:rsid w:val="55C21E48"/>
    <w:rsid w:val="562E51AE"/>
    <w:rsid w:val="56707D61"/>
    <w:rsid w:val="56DD2926"/>
    <w:rsid w:val="56F42740"/>
    <w:rsid w:val="5809221B"/>
    <w:rsid w:val="591C7D2C"/>
    <w:rsid w:val="5B70610D"/>
    <w:rsid w:val="5D9F603C"/>
    <w:rsid w:val="5E4F2952"/>
    <w:rsid w:val="5E5F0DE7"/>
    <w:rsid w:val="5E9842F9"/>
    <w:rsid w:val="5FBC4017"/>
    <w:rsid w:val="600B1606"/>
    <w:rsid w:val="608F34D9"/>
    <w:rsid w:val="61181721"/>
    <w:rsid w:val="61B41449"/>
    <w:rsid w:val="64FE1EDD"/>
    <w:rsid w:val="6646288C"/>
    <w:rsid w:val="67F26828"/>
    <w:rsid w:val="67F81964"/>
    <w:rsid w:val="68A6126B"/>
    <w:rsid w:val="6AB04778"/>
    <w:rsid w:val="6BAC3191"/>
    <w:rsid w:val="6D58745C"/>
    <w:rsid w:val="6E810905"/>
    <w:rsid w:val="700F3CEF"/>
    <w:rsid w:val="70366B8A"/>
    <w:rsid w:val="721113E9"/>
    <w:rsid w:val="726C367A"/>
    <w:rsid w:val="74311E72"/>
    <w:rsid w:val="74392BB2"/>
    <w:rsid w:val="79DC08AE"/>
    <w:rsid w:val="7A990D85"/>
    <w:rsid w:val="7CB4634A"/>
    <w:rsid w:val="7D4A1113"/>
    <w:rsid w:val="7F0D3AEF"/>
    <w:rsid w:val="7F8A15E4"/>
    <w:rsid w:val="7F91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605</Words>
  <Characters>689</Characters>
  <Lines>5</Lines>
  <Paragraphs>1</Paragraphs>
  <TotalTime>0</TotalTime>
  <ScaleCrop>false</ScaleCrop>
  <LinksUpToDate>false</LinksUpToDate>
  <CharactersWithSpaces>727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2022-11-26T11:21:00Z</dcterms:created>
  <dc:creator>Administrator</dc:creator>
  <cp:keywords>GrandReport</cp:keywords>
  <cp:lastModifiedBy>Administrator</cp:lastModifiedBy>
  <dcterms:modified xsi:type="dcterms:W3CDTF">2025-05-23T08:50:54Z</dcterms:modified>
  <dc:subject>None</dc:subject>
  <dc:title>GrandReport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2052-12.1.0.21171</vt:lpwstr>
  </property>
  <property fmtid="{D5CDD505-2E9C-101B-9397-08002B2CF9AE}" pid="5" name="ICV">
    <vt:lpwstr>3A45C44F68924F8F9648C4B6154A8470</vt:lpwstr>
  </property>
  <property fmtid="{D5CDD505-2E9C-101B-9397-08002B2CF9AE}" pid="6" name="KSOTemplateDocerSaveRecord">
    <vt:lpwstr>eyJoZGlkIjoiYjU1MTcyNDI5NDY4YzYzMzhjYTFmYmQwNDQ4Zjc1ZmEifQ==</vt:lpwstr>
  </property>
</Properties>
</file>