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1AA754">
      <w:pPr>
        <w:snapToGrid w:val="0"/>
        <w:spacing w:before="180" w:after="180" w:line="360" w:lineRule="auto"/>
        <w:ind w:left="0" w:right="0" w:firstLine="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鄂尔多斯市政府集中办公区消防等维修工程</w:t>
      </w:r>
    </w:p>
    <w:p w14:paraId="4F3A02BB">
      <w:pPr>
        <w:snapToGrid w:val="0"/>
        <w:spacing w:before="180" w:after="180" w:line="360" w:lineRule="auto"/>
        <w:ind w:left="0" w:right="0" w:firstLine="0"/>
        <w:jc w:val="center"/>
        <w:rPr>
          <w:rFonts w:hint="eastAsia" w:ascii="仿宋" w:hAnsi="仿宋" w:eastAsia="仿宋" w:cs="仿宋"/>
          <w:b w:val="0"/>
          <w:bCs w:val="0"/>
          <w:color w:val="000000" w:themeColor="text1"/>
          <w:sz w:val="36"/>
          <w:szCs w:val="36"/>
          <w:lang w:val="en-US" w:eastAsia="zh-CN"/>
          <w14:textFill>
            <w14:solidFill>
              <w14:schemeClr w14:val="tx1"/>
            </w14:solidFill>
          </w14:textFill>
        </w:rPr>
      </w:pPr>
      <w:r>
        <w:rPr>
          <w:rFonts w:hint="eastAsia" w:ascii="仿宋" w:hAnsi="仿宋" w:eastAsia="仿宋" w:cs="仿宋"/>
          <w:b/>
          <w:bCs/>
          <w:sz w:val="36"/>
          <w:szCs w:val="36"/>
          <w:lang w:val="en-US" w:eastAsia="zh-CN"/>
        </w:rPr>
        <w:t>工程量清单</w:t>
      </w:r>
      <w:r>
        <w:rPr>
          <w:rFonts w:hint="eastAsia" w:ascii="仿宋" w:hAnsi="仿宋" w:eastAsia="仿宋" w:cs="仿宋"/>
          <w:b/>
          <w:bCs/>
          <w:sz w:val="36"/>
          <w:szCs w:val="36"/>
          <w:lang w:eastAsia="zh-CN"/>
        </w:rPr>
        <w:t>编制说明</w:t>
      </w:r>
    </w:p>
    <w:p w14:paraId="4576031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一、工程概况</w:t>
      </w:r>
    </w:p>
    <w:p w14:paraId="7BAABD2D">
      <w:pPr>
        <w:pStyle w:val="4"/>
        <w:keepNext w:val="0"/>
        <w:keepLines w:val="0"/>
        <w:widowControl/>
        <w:suppressLineNumbers w:val="0"/>
        <w:spacing w:before="0" w:beforeAutospacing="0" w:after="0" w:afterAutospacing="0"/>
        <w:ind w:left="0" w:right="0" w:firstLine="560" w:firstLineChars="200"/>
        <w:rPr>
          <w:rFonts w:hint="eastAsia" w:ascii="仿宋" w:hAnsi="仿宋" w:eastAsia="仿宋" w:cs="仿宋"/>
          <w:color w:val="000000"/>
          <w:sz w:val="28"/>
          <w:szCs w:val="28"/>
          <w:lang w:val="en-US" w:eastAsia="zh-CN"/>
        </w:rPr>
      </w:pPr>
      <w:r>
        <w:rPr>
          <w:rFonts w:hint="eastAsia" w:ascii="仿宋" w:hAnsi="仿宋" w:eastAsia="仿宋" w:cs="仿宋"/>
          <w:b w:val="0"/>
          <w:bCs w:val="0"/>
          <w:sz w:val="28"/>
          <w:szCs w:val="28"/>
          <w:lang w:val="en-US" w:eastAsia="zh-CN"/>
        </w:rPr>
        <w:t>鄂尔多斯市政府集中办公区消防等维修工程</w:t>
      </w:r>
      <w:r>
        <w:rPr>
          <w:rFonts w:hint="eastAsia" w:ascii="仿宋" w:hAnsi="仿宋" w:eastAsia="仿宋" w:cs="仿宋"/>
          <w:b w:val="0"/>
          <w:bCs w:val="0"/>
          <w:sz w:val="28"/>
          <w:szCs w:val="28"/>
          <w:highlight w:val="none"/>
          <w:lang w:val="en-US" w:eastAsia="zh-CN"/>
        </w:rPr>
        <w:t>图纸范围内容包括:包括图纸范围内:</w:t>
      </w:r>
      <w:r>
        <w:rPr>
          <w:rFonts w:hint="eastAsia" w:ascii="仿宋" w:hAnsi="仿宋" w:eastAsia="仿宋" w:cs="仿宋"/>
          <w:b w:val="0"/>
          <w:bCs w:val="0"/>
          <w:sz w:val="28"/>
          <w:szCs w:val="28"/>
          <w:highlight w:val="none"/>
          <w:lang w:val="en-US" w:eastAsia="zh-CN"/>
          <w:woUserID w:val="2"/>
        </w:rPr>
        <w:t>党政大楼</w:t>
      </w:r>
      <w:r>
        <w:rPr>
          <w:rFonts w:hint="eastAsia" w:ascii="仿宋" w:hAnsi="仿宋" w:eastAsia="仿宋" w:cs="仿宋"/>
          <w:b w:val="0"/>
          <w:bCs w:val="0"/>
          <w:sz w:val="28"/>
          <w:szCs w:val="28"/>
          <w:highlight w:val="none"/>
          <w:lang w:val="en-US" w:eastAsia="zh-CN"/>
        </w:rPr>
        <w:t>A、B、C座的屋面雨水口和雨水管及出水口更换、窗户开启扇的五金件及密封胶条更换、室外喷泉维修</w:t>
      </w:r>
      <w:r>
        <w:rPr>
          <w:rFonts w:hint="eastAsia" w:ascii="仿宋" w:hAnsi="仿宋" w:eastAsia="仿宋" w:cs="仿宋"/>
          <w:b w:val="0"/>
          <w:bCs w:val="0"/>
          <w:sz w:val="28"/>
          <w:szCs w:val="28"/>
          <w:highlight w:val="none"/>
          <w:lang w:val="en-US" w:eastAsia="zh"/>
          <w:woUserID w:val="2"/>
        </w:rPr>
        <w:t>；</w:t>
      </w:r>
      <w:r>
        <w:rPr>
          <w:rFonts w:hint="eastAsia" w:ascii="仿宋" w:hAnsi="仿宋" w:eastAsia="仿宋" w:cs="仿宋"/>
          <w:b w:val="0"/>
          <w:bCs w:val="0"/>
          <w:sz w:val="28"/>
          <w:szCs w:val="28"/>
          <w:highlight w:val="none"/>
          <w:lang w:val="en-US" w:eastAsia="zh-CN"/>
        </w:rPr>
        <w:t>鄂尔多斯市专家公寓1</w:t>
      </w:r>
      <w:r>
        <w:rPr>
          <w:rFonts w:hint="eastAsia" w:ascii="仿宋" w:hAnsi="仿宋" w:eastAsia="仿宋" w:cs="仿宋"/>
          <w:b w:val="0"/>
          <w:bCs w:val="0"/>
          <w:sz w:val="28"/>
          <w:szCs w:val="28"/>
          <w:highlight w:val="none"/>
          <w:lang w:val="en-US" w:eastAsia="zh"/>
          <w:woUserID w:val="1"/>
        </w:rPr>
        <w:t>-</w:t>
      </w:r>
      <w:r>
        <w:rPr>
          <w:rFonts w:hint="eastAsia" w:ascii="仿宋" w:hAnsi="仿宋" w:eastAsia="仿宋" w:cs="仿宋"/>
          <w:b w:val="0"/>
          <w:bCs w:val="0"/>
          <w:sz w:val="28"/>
          <w:szCs w:val="28"/>
          <w:highlight w:val="none"/>
          <w:lang w:val="en-US" w:eastAsia="zh-CN"/>
        </w:rPr>
        <w:t>5#公寓楼屋顶、檐沟、露台、平台防水及屋顶雨水口更换</w:t>
      </w:r>
      <w:r>
        <w:rPr>
          <w:rFonts w:hint="eastAsia" w:ascii="仿宋" w:hAnsi="仿宋" w:eastAsia="仿宋" w:cs="仿宋"/>
          <w:b w:val="0"/>
          <w:bCs w:val="0"/>
          <w:sz w:val="28"/>
          <w:szCs w:val="28"/>
          <w:highlight w:val="none"/>
          <w:lang w:val="en-US" w:eastAsia="zh"/>
          <w:woUserID w:val="1"/>
        </w:rPr>
        <w:t>、</w:t>
      </w:r>
      <w:r>
        <w:rPr>
          <w:rFonts w:hint="eastAsia" w:ascii="仿宋" w:hAnsi="仿宋" w:eastAsia="仿宋" w:cs="仿宋"/>
          <w:b w:val="0"/>
          <w:bCs w:val="0"/>
          <w:sz w:val="28"/>
          <w:szCs w:val="28"/>
          <w:highlight w:val="none"/>
          <w:lang w:val="en-US" w:eastAsia="zh-CN"/>
        </w:rPr>
        <w:t>服务楼的屋顶、檐沟防水</w:t>
      </w:r>
      <w:r>
        <w:rPr>
          <w:rFonts w:hint="eastAsia" w:ascii="仿宋" w:hAnsi="仿宋" w:eastAsia="仿宋" w:cs="仿宋"/>
          <w:b w:val="0"/>
          <w:bCs w:val="0"/>
          <w:sz w:val="28"/>
          <w:szCs w:val="28"/>
          <w:highlight w:val="none"/>
          <w:lang w:val="en-US" w:eastAsia="zh"/>
          <w:woUserID w:val="1"/>
        </w:rPr>
        <w:t>及</w:t>
      </w:r>
      <w:r>
        <w:rPr>
          <w:rFonts w:hint="eastAsia" w:ascii="仿宋" w:hAnsi="仿宋" w:eastAsia="仿宋" w:cs="仿宋"/>
          <w:b w:val="0"/>
          <w:bCs w:val="0"/>
          <w:sz w:val="28"/>
          <w:szCs w:val="28"/>
          <w:highlight w:val="none"/>
          <w:lang w:val="en-US" w:eastAsia="zh-CN"/>
        </w:rPr>
        <w:t>雨水口更换、厨房防火门、局部送风井及排烟井维修</w:t>
      </w:r>
      <w:r>
        <w:rPr>
          <w:rFonts w:hint="eastAsia" w:ascii="仿宋" w:hAnsi="仿宋" w:eastAsia="仿宋" w:cs="仿宋"/>
          <w:b w:val="0"/>
          <w:bCs w:val="0"/>
          <w:sz w:val="28"/>
          <w:szCs w:val="28"/>
          <w:highlight w:val="none"/>
          <w:lang w:val="en-US" w:eastAsia="zh"/>
          <w:woUserID w:val="1"/>
        </w:rPr>
        <w:t>、</w:t>
      </w:r>
      <w:r>
        <w:rPr>
          <w:rFonts w:hint="eastAsia" w:ascii="仿宋" w:hAnsi="仿宋" w:eastAsia="仿宋" w:cs="仿宋"/>
          <w:b w:val="0"/>
          <w:bCs w:val="0"/>
          <w:sz w:val="28"/>
          <w:szCs w:val="28"/>
          <w:highlight w:val="none"/>
          <w:lang w:val="en-US" w:eastAsia="zh-CN"/>
        </w:rPr>
        <w:t>1-5#楼采暖立管维修、室内温控阀更换、3#楼高位水箱间维修、服务楼厨房增加可燃气体报警系统、地下车库内给水、消火栓管道重新做电伴热及保温、消防泵房管道维修、防排烟系统维修、应急照明系统维修、火灾自动报警系统维修、防火设施设备维修；T2、T5、T6市直部门办公区高位水箱间更换水箱，增加远程液位显示装置，更换防火阀执行机构、更换T2图形显示装置、应急照明灯具等内容。</w:t>
      </w:r>
    </w:p>
    <w:p w14:paraId="2652FA4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二、编制依据</w:t>
      </w:r>
    </w:p>
    <w:p w14:paraId="71941A8C">
      <w:pPr>
        <w:keepNext w:val="0"/>
        <w:keepLines w:val="0"/>
        <w:pageBreakBefore w:val="0"/>
        <w:widowControl w:val="0"/>
        <w:kinsoku/>
        <w:wordWrap/>
        <w:overflowPunct/>
        <w:topLinePunct w:val="0"/>
        <w:autoSpaceDE/>
        <w:autoSpaceDN/>
        <w:bidi w:val="0"/>
        <w:adjustRightInd/>
        <w:snapToGrid/>
        <w:spacing w:before="0" w:after="0" w:line="312" w:lineRule="auto"/>
        <w:ind w:right="0" w:firstLine="560" w:firstLineChars="200"/>
        <w:jc w:val="both"/>
        <w:textAlignment w:val="auto"/>
        <w:rPr>
          <w:rFonts w:hint="eastAsia" w:ascii="仿宋" w:hAnsi="仿宋" w:eastAsia="仿宋" w:cs="仿宋"/>
          <w:b w:val="0"/>
          <w:i w:val="0"/>
          <w:strike w:val="0"/>
          <w:color w:val="auto"/>
          <w:sz w:val="28"/>
          <w:szCs w:val="28"/>
          <w:u w:val="none"/>
          <w:lang w:val="en-US" w:eastAsia="zh-CN"/>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工程量计算依据鄂尔多斯市政府投资项目代建中心提供的</w:t>
      </w:r>
      <w:r>
        <w:rPr>
          <w:rFonts w:hint="eastAsia" w:ascii="仿宋" w:hAnsi="仿宋" w:eastAsia="仿宋" w:cs="仿宋"/>
          <w:b w:val="0"/>
          <w:bCs w:val="0"/>
          <w:sz w:val="28"/>
          <w:szCs w:val="28"/>
          <w:lang w:val="en-US" w:eastAsia="zh-CN"/>
        </w:rPr>
        <w:t>鄂尔多斯市政</w:t>
      </w:r>
      <w:r>
        <w:rPr>
          <w:rFonts w:hint="eastAsia" w:ascii="仿宋" w:hAnsi="仿宋" w:eastAsia="仿宋" w:cs="仿宋"/>
          <w:b w:val="0"/>
          <w:i w:val="0"/>
          <w:strike w:val="0"/>
          <w:color w:val="auto"/>
          <w:sz w:val="28"/>
          <w:szCs w:val="28"/>
          <w:u w:val="none"/>
          <w:lang w:val="en-US" w:eastAsia="zh-CN"/>
        </w:rPr>
        <w:t>府集中办公区消防等维修工程电子版图纸。</w:t>
      </w:r>
    </w:p>
    <w:p w14:paraId="670A892B">
      <w:pPr>
        <w:keepNext w:val="0"/>
        <w:keepLines w:val="0"/>
        <w:pageBreakBefore w:val="0"/>
        <w:widowControl w:val="0"/>
        <w:kinsoku/>
        <w:wordWrap/>
        <w:overflowPunct/>
        <w:topLinePunct w:val="0"/>
        <w:autoSpaceDE/>
        <w:autoSpaceDN/>
        <w:bidi w:val="0"/>
        <w:adjustRightInd/>
        <w:snapToGrid/>
        <w:spacing w:before="0" w:after="0" w:line="312" w:lineRule="auto"/>
        <w:ind w:right="0" w:firstLine="560" w:firstLineChars="200"/>
        <w:jc w:val="both"/>
        <w:textAlignment w:val="auto"/>
        <w:rPr>
          <w:rFonts w:hint="eastAsia" w:ascii="仿宋" w:hAnsi="仿宋" w:eastAsia="仿宋" w:cs="仿宋"/>
          <w:b w:val="0"/>
          <w:i w:val="0"/>
          <w:strike w:val="0"/>
          <w:color w:val="auto"/>
          <w:sz w:val="28"/>
          <w:szCs w:val="28"/>
          <w:u w:val="none"/>
        </w:rPr>
      </w:pPr>
      <w:r>
        <w:rPr>
          <w:rFonts w:hint="eastAsia" w:ascii="仿宋" w:hAnsi="仿宋" w:eastAsia="仿宋" w:cs="仿宋"/>
          <w:b w:val="0"/>
          <w:i w:val="0"/>
          <w:strike w:val="0"/>
          <w:color w:val="auto"/>
          <w:sz w:val="28"/>
          <w:szCs w:val="28"/>
          <w:u w:val="none"/>
          <w:lang w:val="en-US" w:eastAsia="zh-CN"/>
        </w:rPr>
        <w:t>2、</w:t>
      </w:r>
      <w:r>
        <w:rPr>
          <w:rFonts w:hint="eastAsia" w:ascii="仿宋" w:hAnsi="仿宋" w:eastAsia="仿宋" w:cs="仿宋"/>
          <w:b w:val="0"/>
          <w:i w:val="0"/>
          <w:strike w:val="0"/>
          <w:color w:val="auto"/>
          <w:sz w:val="28"/>
          <w:szCs w:val="28"/>
          <w:u w:val="none"/>
        </w:rPr>
        <w:t>工程量清单计价执行2013</w:t>
      </w:r>
      <w:r>
        <w:rPr>
          <w:rFonts w:hint="eastAsia" w:ascii="仿宋" w:hAnsi="仿宋" w:eastAsia="仿宋" w:cs="仿宋"/>
          <w:b w:val="0"/>
          <w:i w:val="0"/>
          <w:strike w:val="0"/>
          <w:color w:val="auto"/>
          <w:sz w:val="28"/>
          <w:szCs w:val="28"/>
          <w:u w:val="none"/>
          <w:lang w:eastAsia="zh-CN"/>
        </w:rPr>
        <w:t>届</w:t>
      </w:r>
      <w:r>
        <w:rPr>
          <w:rFonts w:hint="eastAsia" w:ascii="仿宋" w:hAnsi="仿宋" w:eastAsia="仿宋" w:cs="仿宋"/>
          <w:b w:val="0"/>
          <w:i w:val="0"/>
          <w:strike w:val="0"/>
          <w:color w:val="auto"/>
          <w:sz w:val="28"/>
          <w:szCs w:val="28"/>
          <w:u w:val="none"/>
        </w:rPr>
        <w:t>《建设工程工程量清单计价规范》(GB50500-2013)、《房屋建筑与装饰工程工程量计算规范》(GB50854-2013)、《通用安装工程工程量计算规范》。</w:t>
      </w:r>
    </w:p>
    <w:p w14:paraId="67A4A8E3">
      <w:pPr>
        <w:keepNext w:val="0"/>
        <w:keepLines w:val="0"/>
        <w:pageBreakBefore w:val="0"/>
        <w:widowControl w:val="0"/>
        <w:kinsoku/>
        <w:wordWrap/>
        <w:overflowPunct/>
        <w:topLinePunct w:val="0"/>
        <w:autoSpaceDE/>
        <w:autoSpaceDN/>
        <w:bidi w:val="0"/>
        <w:adjustRightInd/>
        <w:snapToGrid/>
        <w:spacing w:before="0" w:after="0" w:line="312" w:lineRule="auto"/>
        <w:ind w:right="0"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w:t>
      </w:r>
      <w:r>
        <w:rPr>
          <w:rFonts w:hint="eastAsia" w:ascii="仿宋" w:hAnsi="仿宋" w:eastAsia="仿宋" w:cs="仿宋"/>
          <w:b w:val="0"/>
          <w:i w:val="0"/>
          <w:strike w:val="0"/>
          <w:color w:val="auto"/>
          <w:sz w:val="28"/>
          <w:szCs w:val="28"/>
          <w:u w:val="none"/>
        </w:rPr>
        <w:t>规费执行内建标函【2019】468号文件</w:t>
      </w:r>
      <w:r>
        <w:rPr>
          <w:rFonts w:hint="eastAsia" w:ascii="仿宋" w:hAnsi="仿宋" w:eastAsia="仿宋" w:cs="仿宋"/>
          <w:b w:val="0"/>
          <w:i w:val="0"/>
          <w:strike w:val="0"/>
          <w:color w:val="auto"/>
          <w:sz w:val="28"/>
          <w:szCs w:val="28"/>
          <w:u w:val="none"/>
          <w:lang w:eastAsia="zh-CN"/>
        </w:rPr>
        <w:t>，</w:t>
      </w:r>
      <w:r>
        <w:rPr>
          <w:rFonts w:hint="eastAsia" w:ascii="仿宋" w:hAnsi="仿宋" w:eastAsia="仿宋" w:cs="仿宋"/>
          <w:b w:val="0"/>
          <w:i w:val="0"/>
          <w:strike w:val="0"/>
          <w:color w:val="auto"/>
          <w:sz w:val="28"/>
          <w:szCs w:val="28"/>
          <w:u w:val="none"/>
        </w:rPr>
        <w:t>按19%计取</w:t>
      </w:r>
      <w:r>
        <w:rPr>
          <w:rFonts w:hint="eastAsia" w:ascii="仿宋" w:hAnsi="仿宋" w:eastAsia="仿宋" w:cs="仿宋"/>
          <w:b w:val="0"/>
          <w:i w:val="0"/>
          <w:strike w:val="0"/>
          <w:color w:val="auto"/>
          <w:sz w:val="28"/>
          <w:szCs w:val="28"/>
          <w:u w:val="none"/>
          <w:lang w:eastAsia="zh-CN"/>
        </w:rPr>
        <w:t>。</w:t>
      </w:r>
    </w:p>
    <w:p w14:paraId="66D0649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rPr>
        <w:t>、税金执行内建标【2019】113号文件,税率按9%计</w:t>
      </w:r>
      <w:r>
        <w:rPr>
          <w:rFonts w:hint="eastAsia" w:ascii="仿宋" w:hAnsi="仿宋" w:eastAsia="仿宋" w:cs="仿宋"/>
          <w:color w:val="000000"/>
          <w:sz w:val="28"/>
          <w:szCs w:val="28"/>
          <w:lang w:eastAsia="zh-CN"/>
        </w:rPr>
        <w:t>算</w:t>
      </w:r>
      <w:r>
        <w:rPr>
          <w:rFonts w:hint="eastAsia" w:ascii="仿宋" w:hAnsi="仿宋" w:eastAsia="仿宋" w:cs="仿宋"/>
          <w:color w:val="000000"/>
          <w:sz w:val="28"/>
          <w:szCs w:val="28"/>
        </w:rPr>
        <w:t>。</w:t>
      </w:r>
    </w:p>
    <w:p w14:paraId="355052DA">
      <w:pPr>
        <w:keepNext w:val="0"/>
        <w:keepLines w:val="0"/>
        <w:pageBreakBefore w:val="0"/>
        <w:widowControl w:val="0"/>
        <w:kinsoku/>
        <w:wordWrap/>
        <w:overflowPunct/>
        <w:topLinePunct w:val="0"/>
        <w:autoSpaceDE/>
        <w:autoSpaceDN/>
        <w:bidi w:val="0"/>
        <w:adjustRightInd/>
        <w:snapToGrid/>
        <w:spacing w:before="0" w:after="0" w:line="312" w:lineRule="auto"/>
        <w:ind w:right="0" w:firstLine="560" w:firstLineChars="200"/>
        <w:jc w:val="both"/>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w:t>
      </w:r>
      <w:r>
        <w:rPr>
          <w:rFonts w:hint="eastAsia" w:ascii="仿宋" w:hAnsi="仿宋" w:eastAsia="仿宋" w:cs="仿宋"/>
          <w:b w:val="0"/>
          <w:i w:val="0"/>
          <w:strike w:val="0"/>
          <w:color w:val="auto"/>
          <w:sz w:val="28"/>
          <w:szCs w:val="28"/>
          <w:u w:val="none"/>
        </w:rPr>
        <w:t>人工费调整依据内建标(2021)148号文件</w:t>
      </w:r>
      <w:r>
        <w:rPr>
          <w:rFonts w:hint="eastAsia" w:ascii="仿宋" w:hAnsi="仿宋" w:eastAsia="仿宋" w:cs="仿宋"/>
          <w:b w:val="0"/>
          <w:i w:val="0"/>
          <w:strike w:val="0"/>
          <w:color w:val="auto"/>
          <w:sz w:val="28"/>
          <w:szCs w:val="28"/>
          <w:u w:val="none"/>
          <w:lang w:eastAsia="zh-CN"/>
        </w:rPr>
        <w:t>。</w:t>
      </w:r>
    </w:p>
    <w:p w14:paraId="5111E90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三、编制说明</w:t>
      </w:r>
    </w:p>
    <w:p w14:paraId="7BE2AC59">
      <w:pPr>
        <w:pStyle w:val="4"/>
        <w:keepNext w:val="0"/>
        <w:keepLines w:val="0"/>
        <w:widowControl/>
        <w:suppressLineNumbers w:val="0"/>
        <w:spacing w:before="0" w:beforeAutospacing="0" w:after="0" w:afterAutospacing="0"/>
        <w:ind w:left="0" w:right="0" w:firstLine="560" w:firstLineChars="200"/>
        <w:rPr>
          <w:rFonts w:hint="default" w:ascii="仿宋" w:hAnsi="仿宋" w:eastAsia="仿宋" w:cs="仿宋"/>
          <w:color w:val="000000"/>
          <w:kern w:val="2"/>
          <w:sz w:val="28"/>
          <w:szCs w:val="28"/>
          <w:highlight w:val="none"/>
          <w:lang w:val="en-US" w:eastAsia="zh-CN" w:bidi="ar-SA"/>
        </w:rPr>
      </w:pPr>
      <w:r>
        <w:rPr>
          <w:rFonts w:hint="eastAsia" w:ascii="仿宋" w:hAnsi="仿宋" w:eastAsia="仿宋" w:cs="仿宋"/>
          <w:color w:val="000000"/>
          <w:sz w:val="28"/>
          <w:szCs w:val="28"/>
        </w:rPr>
        <w:t>1</w:t>
      </w:r>
      <w:r>
        <w:rPr>
          <w:rFonts w:hint="eastAsia" w:ascii="仿宋" w:hAnsi="仿宋" w:eastAsia="仿宋" w:cs="仿宋"/>
          <w:color w:val="000000"/>
          <w:sz w:val="28"/>
          <w:szCs w:val="28"/>
          <w:highlight w:val="none"/>
        </w:rPr>
        <w:t>、</w:t>
      </w:r>
      <w:r>
        <w:rPr>
          <w:rFonts w:hint="eastAsia" w:ascii="仿宋" w:hAnsi="仿宋" w:eastAsia="仿宋" w:cs="仿宋"/>
          <w:b w:val="0"/>
          <w:bCs w:val="0"/>
          <w:kern w:val="2"/>
          <w:sz w:val="28"/>
          <w:szCs w:val="28"/>
          <w:highlight w:val="none"/>
          <w:lang w:val="en-US" w:eastAsia="zh-CN" w:bidi="ar-SA"/>
        </w:rPr>
        <w:t>所有施工均为保护性施工，</w:t>
      </w:r>
      <w:r>
        <w:rPr>
          <w:rFonts w:hint="eastAsia" w:ascii="仿宋" w:hAnsi="仿宋" w:eastAsia="仿宋" w:cs="仿宋"/>
          <w:color w:val="000000"/>
          <w:sz w:val="28"/>
          <w:szCs w:val="28"/>
          <w:highlight w:val="none"/>
          <w:lang w:val="en-US" w:eastAsia="zh-CN"/>
        </w:rPr>
        <w:t>所有拆除均为人工保护性拆除</w:t>
      </w:r>
      <w:r>
        <w:rPr>
          <w:rFonts w:hint="eastAsia" w:ascii="仿宋" w:hAnsi="仿宋" w:eastAsia="仿宋" w:cs="仿宋"/>
          <w:color w:val="000000"/>
          <w:kern w:val="2"/>
          <w:sz w:val="28"/>
          <w:szCs w:val="28"/>
          <w:highlight w:val="none"/>
          <w:lang w:val="en-US" w:eastAsia="zh-CN" w:bidi="ar-SA"/>
        </w:rPr>
        <w:t>；</w:t>
      </w:r>
    </w:p>
    <w:p w14:paraId="2BAFFA70">
      <w:pPr>
        <w:pStyle w:val="4"/>
        <w:keepNext w:val="0"/>
        <w:keepLines w:val="0"/>
        <w:widowControl/>
        <w:suppressLineNumbers w:val="0"/>
        <w:spacing w:before="0" w:beforeAutospacing="0" w:after="0" w:afterAutospacing="0"/>
        <w:ind w:left="0" w:right="0" w:firstLine="560" w:firstLineChars="200"/>
        <w:rPr>
          <w:rFonts w:hint="eastAsia" w:ascii="仿宋" w:hAnsi="仿宋" w:eastAsia="仿宋" w:cs="仿宋"/>
          <w:color w:val="000000"/>
          <w:kern w:val="2"/>
          <w:sz w:val="28"/>
          <w:szCs w:val="28"/>
          <w:highlight w:val="none"/>
          <w:lang w:val="en-US" w:eastAsia="zh-CN" w:bidi="ar-SA"/>
        </w:rPr>
      </w:pPr>
      <w:r>
        <w:rPr>
          <w:rFonts w:hint="eastAsia" w:ascii="仿宋" w:hAnsi="仿宋" w:eastAsia="仿宋" w:cs="仿宋"/>
          <w:color w:val="000000"/>
          <w:kern w:val="2"/>
          <w:sz w:val="28"/>
          <w:szCs w:val="28"/>
          <w:highlight w:val="none"/>
          <w:lang w:val="en-US" w:eastAsia="zh-CN" w:bidi="ar-SA"/>
        </w:rPr>
        <w:t>2、</w:t>
      </w:r>
      <w:r>
        <w:rPr>
          <w:rFonts w:hint="eastAsia" w:ascii="仿宋" w:hAnsi="仿宋" w:eastAsia="仿宋" w:cs="仿宋"/>
          <w:color w:val="auto"/>
          <w:sz w:val="28"/>
          <w:szCs w:val="28"/>
          <w:highlight w:val="none"/>
          <w:lang w:val="en-US" w:eastAsia="zh-CN"/>
        </w:rPr>
        <w:t>本工程为维修工程，不计取</w:t>
      </w:r>
      <w:r>
        <w:rPr>
          <w:rFonts w:hint="eastAsia" w:ascii="仿宋" w:hAnsi="仿宋" w:eastAsia="仿宋" w:cs="仿宋"/>
          <w:color w:val="auto"/>
          <w:sz w:val="28"/>
          <w:szCs w:val="28"/>
          <w:highlight w:val="none"/>
        </w:rPr>
        <w:t>建筑工人实名制费用</w:t>
      </w:r>
      <w:r>
        <w:rPr>
          <w:rFonts w:hint="eastAsia" w:ascii="仿宋" w:hAnsi="仿宋" w:eastAsia="仿宋" w:cs="仿宋"/>
          <w:color w:val="000000"/>
          <w:kern w:val="2"/>
          <w:sz w:val="28"/>
          <w:szCs w:val="28"/>
          <w:highlight w:val="none"/>
          <w:lang w:val="en-US" w:eastAsia="zh-CN" w:bidi="ar-SA"/>
        </w:rPr>
        <w:t>；</w:t>
      </w:r>
    </w:p>
    <w:p w14:paraId="428C2ABA">
      <w:pPr>
        <w:pStyle w:val="4"/>
        <w:keepNext w:val="0"/>
        <w:keepLines w:val="0"/>
        <w:widowControl/>
        <w:suppressLineNumbers w:val="0"/>
        <w:spacing w:before="0" w:beforeAutospacing="0" w:after="0" w:afterAutospacing="0"/>
        <w:ind w:left="0" w:right="0" w:firstLine="560" w:firstLineChars="200"/>
        <w:rPr>
          <w:rFonts w:hint="eastAsia" w:ascii="仿宋" w:hAnsi="仿宋" w:eastAsia="仿宋" w:cs="仿宋"/>
          <w:color w:val="000000"/>
          <w:kern w:val="2"/>
          <w:sz w:val="28"/>
          <w:szCs w:val="28"/>
          <w:highlight w:val="none"/>
          <w:lang w:val="en-US" w:eastAsia="zh-CN" w:bidi="ar-SA"/>
        </w:rPr>
      </w:pPr>
      <w:r>
        <w:rPr>
          <w:rFonts w:hint="eastAsia" w:ascii="仿宋" w:hAnsi="仿宋" w:eastAsia="仿宋" w:cs="仿宋"/>
          <w:color w:val="000000"/>
          <w:kern w:val="2"/>
          <w:sz w:val="28"/>
          <w:szCs w:val="28"/>
          <w:lang w:val="en-US" w:eastAsia="zh-CN" w:bidi="ar-SA"/>
        </w:rPr>
        <w:t>3、</w:t>
      </w:r>
      <w:r>
        <w:rPr>
          <w:rFonts w:hint="eastAsia" w:ascii="仿宋" w:hAnsi="仿宋" w:eastAsia="仿宋" w:cs="仿宋"/>
          <w:color w:val="000000"/>
          <w:kern w:val="2"/>
          <w:sz w:val="28"/>
          <w:szCs w:val="28"/>
          <w:highlight w:val="none"/>
          <w:lang w:val="en-US" w:eastAsia="zh-CN" w:bidi="ar-SA"/>
        </w:rPr>
        <w:t>拆除建筑垃圾外运运距投标人自行考虑结算时不做调整（含垃圾消纳费）；</w:t>
      </w:r>
    </w:p>
    <w:p w14:paraId="2F24FA4E">
      <w:pPr>
        <w:pStyle w:val="4"/>
        <w:keepNext w:val="0"/>
        <w:keepLines w:val="0"/>
        <w:widowControl/>
        <w:suppressLineNumbers w:val="0"/>
        <w:spacing w:before="0" w:beforeAutospacing="0" w:after="0" w:afterAutospacing="0"/>
        <w:ind w:left="0" w:right="0" w:firstLine="560"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highlight w:val="none"/>
          <w:lang w:val="en-US" w:eastAsia="zh-CN" w:bidi="ar-SA"/>
        </w:rPr>
        <w:t>4、</w:t>
      </w:r>
      <w:r>
        <w:rPr>
          <w:rFonts w:hint="eastAsia" w:ascii="仿宋" w:hAnsi="仿宋" w:eastAsia="仿宋" w:cs="仿宋"/>
          <w:color w:val="000000"/>
          <w:kern w:val="2"/>
          <w:sz w:val="28"/>
          <w:szCs w:val="28"/>
          <w:lang w:val="en-US" w:eastAsia="zh-CN" w:bidi="ar-SA"/>
        </w:rPr>
        <w:t>所有拆除设备需移交甲方并搬运到指定地点；</w:t>
      </w:r>
    </w:p>
    <w:p w14:paraId="0C8D5FC6">
      <w:pPr>
        <w:pStyle w:val="4"/>
        <w:keepNext w:val="0"/>
        <w:keepLines w:val="0"/>
        <w:widowControl/>
        <w:suppressLineNumbers w:val="0"/>
        <w:spacing w:before="0" w:beforeAutospacing="0" w:after="0" w:afterAutospacing="0"/>
        <w:ind w:right="0" w:firstLine="560" w:firstLineChars="200"/>
        <w:rPr>
          <w:rFonts w:hint="eastAsia" w:ascii="仿宋" w:hAnsi="仿宋" w:eastAsia="仿宋" w:cs="仿宋"/>
          <w:color w:val="00000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5、</w:t>
      </w:r>
      <w:r>
        <w:rPr>
          <w:rFonts w:hint="eastAsia" w:ascii="仿宋" w:hAnsi="仿宋" w:eastAsia="仿宋" w:cs="仿宋"/>
          <w:color w:val="000000"/>
          <w:kern w:val="2"/>
          <w:sz w:val="28"/>
          <w:szCs w:val="28"/>
          <w:highlight w:val="none"/>
          <w:lang w:val="en-US" w:eastAsia="zh-CN" w:bidi="ar-SA"/>
        </w:rPr>
        <w:t>本工程暂列金额为</w:t>
      </w:r>
      <w:r>
        <w:rPr>
          <w:rFonts w:hint="eastAsia" w:ascii="仿宋" w:hAnsi="仿宋" w:eastAsia="仿宋" w:cs="仿宋"/>
          <w:color w:val="auto"/>
          <w:kern w:val="2"/>
          <w:sz w:val="28"/>
          <w:szCs w:val="28"/>
          <w:highlight w:val="none"/>
          <w:lang w:val="en-US" w:eastAsia="zh-CN" w:bidi="ar-SA"/>
        </w:rPr>
        <w:t>546090</w:t>
      </w:r>
      <w:r>
        <w:rPr>
          <w:rFonts w:hint="eastAsia" w:ascii="仿宋" w:hAnsi="仿宋" w:eastAsia="仿宋" w:cs="仿宋"/>
          <w:color w:val="000000"/>
          <w:kern w:val="2"/>
          <w:sz w:val="28"/>
          <w:szCs w:val="28"/>
          <w:highlight w:val="none"/>
          <w:lang w:val="en-US" w:eastAsia="zh-CN" w:bidi="ar-SA"/>
        </w:rPr>
        <w:t>元（含税金），为不可竞争费用，直接计入总造价。</w:t>
      </w:r>
    </w:p>
    <w:p w14:paraId="511508AC">
      <w:pPr>
        <w:pStyle w:val="4"/>
        <w:keepNext w:val="0"/>
        <w:keepLines w:val="0"/>
        <w:widowControl/>
        <w:suppressLineNumbers w:val="0"/>
        <w:spacing w:before="0" w:beforeAutospacing="0" w:after="0" w:afterAutospacing="0"/>
        <w:ind w:right="0" w:firstLine="560" w:firstLineChars="200"/>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highlight w:val="none"/>
          <w:lang w:val="en-US" w:eastAsia="zh-CN" w:bidi="ar-SA"/>
        </w:rPr>
        <w:t>6、本工程需要考虑室内、外维修对原地面、墙面、顶棚、屋面进行成品保护，投标单位自行考虑，结算时不予调整。施工过程中对成品应采取保护措施，如造成破坏，施工方需无偿修复。</w:t>
      </w:r>
      <w:r>
        <w:rPr>
          <w:rFonts w:hint="eastAsia" w:ascii="仿宋" w:hAnsi="仿宋" w:eastAsia="仿宋" w:cs="仿宋"/>
          <w:color w:val="000000"/>
          <w:kern w:val="2"/>
          <w:sz w:val="28"/>
          <w:szCs w:val="28"/>
          <w:lang w:val="en-US" w:eastAsia="zh-CN" w:bidi="ar-SA"/>
        </w:rPr>
        <w:br w:type="textWrapping"/>
      </w:r>
      <w:r>
        <w:rPr>
          <w:rFonts w:hint="eastAsia" w:ascii="仿宋" w:hAnsi="仿宋" w:eastAsia="仿宋" w:cs="仿宋"/>
          <w:color w:val="000000"/>
          <w:kern w:val="2"/>
          <w:sz w:val="28"/>
          <w:szCs w:val="28"/>
          <w:lang w:val="en-US" w:eastAsia="zh-CN" w:bidi="ar-SA"/>
        </w:rPr>
        <w:t xml:space="preserve">    7、本工程为维修工程，无法提供管理人员、工人办公及生活用房临时设施搭设用地,投标单位自行考虑租赁房屋等相关费用，结算不予调整。因是维修工程，材料必须与原工程相匹配，采购前需经发包人确认后封样，否则无条件更换。</w:t>
      </w:r>
      <w:r>
        <w:rPr>
          <w:rFonts w:hint="eastAsia" w:ascii="仿宋" w:hAnsi="仿宋" w:eastAsia="仿宋" w:cs="仿宋"/>
          <w:color w:val="000000"/>
          <w:kern w:val="2"/>
          <w:sz w:val="28"/>
          <w:szCs w:val="28"/>
          <w:lang w:val="en-US" w:eastAsia="zh-CN" w:bidi="ar-SA"/>
        </w:rPr>
        <w:br w:type="textWrapping"/>
      </w:r>
      <w:r>
        <w:rPr>
          <w:rFonts w:hint="eastAsia" w:ascii="仿宋" w:hAnsi="仿宋" w:eastAsia="仿宋" w:cs="仿宋"/>
          <w:color w:val="000000"/>
          <w:kern w:val="2"/>
          <w:sz w:val="28"/>
          <w:szCs w:val="28"/>
          <w:lang w:val="en-US" w:eastAsia="zh-CN" w:bidi="ar-SA"/>
        </w:rPr>
        <w:t xml:space="preserve">   </w:t>
      </w:r>
      <w:r>
        <w:rPr>
          <w:rFonts w:hint="eastAsia" w:ascii="仿宋" w:hAnsi="仿宋" w:eastAsia="仿宋" w:cs="仿宋"/>
          <w:color w:val="000000"/>
          <w:kern w:val="2"/>
          <w:sz w:val="28"/>
          <w:szCs w:val="28"/>
          <w:highlight w:val="none"/>
          <w:lang w:val="en-US" w:eastAsia="zh-CN" w:bidi="ar-SA"/>
        </w:rPr>
        <w:t>8、本工程维修过程中不能停止办公，投标时需要考虑停窝工、夜间施工费、除尘降噪费用（现场保持无尘、无烟、不影响周围办公）等相关费用，投标单位自行考虑报价，结算时不予调整。</w:t>
      </w:r>
      <w:r>
        <w:rPr>
          <w:rFonts w:hint="eastAsia" w:ascii="仿宋" w:hAnsi="仿宋" w:eastAsia="仿宋" w:cs="仿宋"/>
          <w:color w:val="000000"/>
          <w:kern w:val="2"/>
          <w:sz w:val="28"/>
          <w:szCs w:val="28"/>
          <w:lang w:val="en-US" w:eastAsia="zh-CN" w:bidi="ar-SA"/>
        </w:rPr>
        <w:br w:type="textWrapping"/>
      </w:r>
      <w:r>
        <w:rPr>
          <w:rFonts w:hint="eastAsia" w:ascii="仿宋" w:hAnsi="仿宋" w:eastAsia="仿宋" w:cs="仿宋"/>
          <w:color w:val="000000"/>
          <w:kern w:val="2"/>
          <w:sz w:val="28"/>
          <w:szCs w:val="28"/>
          <w:lang w:val="en-US" w:eastAsia="zh-CN" w:bidi="ar-SA"/>
        </w:rPr>
        <w:t xml:space="preserve">   9、本工程为维修改造项目，施工方应充分考虑夜间施工、材料及设备等垃圾的二次运输，施工单位在投标报价中安排合理的施工组织，相应费用应考虑在投标报价中，结算时不做调整。</w:t>
      </w:r>
    </w:p>
    <w:p w14:paraId="3A7CF581">
      <w:pPr>
        <w:pStyle w:val="4"/>
        <w:keepNext w:val="0"/>
        <w:keepLines w:val="0"/>
        <w:widowControl/>
        <w:suppressLineNumbers w:val="0"/>
        <w:spacing w:before="0" w:beforeAutospacing="0" w:after="0" w:afterAutospacing="0"/>
        <w:ind w:right="0" w:firstLine="560" w:firstLineChars="200"/>
        <w:rPr>
          <w:rFonts w:hint="default"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10、投标单位报价时自行考虑雨季施工中的各种措施及防护，除不可抗力因素外，结算时不予调整。</w:t>
      </w:r>
    </w:p>
    <w:p w14:paraId="528F9BB3">
      <w:pPr>
        <w:pStyle w:val="4"/>
        <w:keepNext w:val="0"/>
        <w:keepLines w:val="0"/>
        <w:widowControl/>
        <w:suppressLineNumbers w:val="0"/>
        <w:spacing w:before="0" w:beforeAutospacing="0" w:after="0" w:afterAutospacing="0"/>
        <w:ind w:right="0" w:firstLine="560" w:firstLineChars="200"/>
        <w:rPr>
          <w:rFonts w:hint="eastAsia" w:ascii="仿宋" w:hAnsi="仿宋" w:eastAsia="仿宋" w:cs="仿宋"/>
          <w:color w:val="000000"/>
          <w:kern w:val="2"/>
          <w:sz w:val="28"/>
          <w:szCs w:val="28"/>
          <w:lang w:val="en-US" w:eastAsia="zh-CN" w:bidi="ar-SA"/>
        </w:rPr>
      </w:pPr>
    </w:p>
    <w:p w14:paraId="0CBDFCB2">
      <w:pPr>
        <w:pStyle w:val="4"/>
        <w:keepNext w:val="0"/>
        <w:keepLines w:val="0"/>
        <w:widowControl/>
        <w:suppressLineNumbers w:val="0"/>
        <w:spacing w:before="0" w:beforeAutospacing="0" w:after="0" w:afterAutospacing="0"/>
        <w:ind w:right="0" w:firstLine="560" w:firstLineChars="200"/>
        <w:rPr>
          <w:rFonts w:hint="eastAsia" w:ascii="仿宋" w:hAnsi="仿宋" w:eastAsia="仿宋" w:cs="仿宋"/>
          <w:color w:val="000000"/>
          <w:kern w:val="2"/>
          <w:sz w:val="28"/>
          <w:szCs w:val="28"/>
          <w:lang w:val="en-US" w:eastAsia="zh-CN" w:bidi="ar-SA"/>
        </w:rPr>
      </w:pPr>
    </w:p>
    <w:p w14:paraId="26584169">
      <w:pPr>
        <w:pStyle w:val="4"/>
        <w:keepNext w:val="0"/>
        <w:keepLines w:val="0"/>
        <w:widowControl/>
        <w:suppressLineNumbers w:val="0"/>
        <w:spacing w:before="0" w:beforeAutospacing="0" w:after="0" w:afterAutospacing="0"/>
        <w:ind w:right="0" w:firstLine="560" w:firstLineChars="200"/>
        <w:rPr>
          <w:rFonts w:hint="eastAsia" w:ascii="仿宋" w:hAnsi="仿宋" w:eastAsia="仿宋" w:cs="仿宋"/>
          <w:color w:val="000000"/>
          <w:kern w:val="2"/>
          <w:sz w:val="28"/>
          <w:szCs w:val="28"/>
          <w:lang w:val="en-US" w:eastAsia="zh-CN" w:bidi="ar-SA"/>
        </w:rPr>
      </w:pPr>
    </w:p>
    <w:p w14:paraId="1763A44A">
      <w:pPr>
        <w:pStyle w:val="4"/>
        <w:keepNext w:val="0"/>
        <w:keepLines w:val="0"/>
        <w:widowControl/>
        <w:suppressLineNumbers w:val="0"/>
        <w:spacing w:before="0" w:beforeAutospacing="0" w:after="0" w:afterAutospacing="0"/>
        <w:ind w:right="0"/>
        <w:rPr>
          <w:rFonts w:hint="eastAsia" w:ascii="仿宋" w:hAnsi="仿宋" w:eastAsia="仿宋" w:cs="仿宋"/>
          <w:color w:val="000000"/>
          <w:kern w:val="2"/>
          <w:sz w:val="28"/>
          <w:szCs w:val="28"/>
          <w:lang w:val="en-US" w:eastAsia="zh-CN" w:bidi="ar-SA"/>
        </w:rPr>
      </w:pPr>
    </w:p>
    <w:p w14:paraId="00946EA7">
      <w:pPr>
        <w:pStyle w:val="4"/>
        <w:keepNext w:val="0"/>
        <w:keepLines w:val="0"/>
        <w:widowControl/>
        <w:suppressLineNumbers w:val="0"/>
        <w:spacing w:before="0" w:beforeAutospacing="0" w:after="0" w:afterAutospacing="0"/>
        <w:ind w:right="0"/>
        <w:jc w:val="both"/>
        <w:rPr>
          <w:rFonts w:hint="default" w:ascii="仿宋" w:hAnsi="仿宋" w:eastAsia="仿宋" w:cs="仿宋"/>
          <w:b/>
          <w:bCs/>
          <w:color w:val="000000"/>
          <w:kern w:val="2"/>
          <w:sz w:val="32"/>
          <w:szCs w:val="32"/>
          <w:lang w:val="en-US" w:eastAsia="zh-CN" w:bidi="ar-SA"/>
        </w:rPr>
      </w:pPr>
      <w:r>
        <w:rPr>
          <w:rFonts w:hint="eastAsia" w:ascii="仿宋" w:hAnsi="仿宋" w:eastAsia="仿宋" w:cs="仿宋"/>
          <w:b/>
          <w:bCs/>
          <w:color w:val="000000"/>
          <w:kern w:val="2"/>
          <w:sz w:val="32"/>
          <w:szCs w:val="32"/>
          <w:lang w:val="en-US" w:eastAsia="zh-CN" w:bidi="ar-SA"/>
        </w:rPr>
        <w:t>附表一</w:t>
      </w:r>
    </w:p>
    <w:p w14:paraId="5CA36CC1">
      <w:pPr>
        <w:pStyle w:val="4"/>
        <w:keepNext w:val="0"/>
        <w:keepLines w:val="0"/>
        <w:widowControl/>
        <w:suppressLineNumbers w:val="0"/>
        <w:spacing w:before="0" w:beforeAutospacing="0" w:after="0" w:afterAutospacing="0"/>
        <w:ind w:right="0"/>
        <w:jc w:val="center"/>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汇总表</w:t>
      </w:r>
    </w:p>
    <w:tbl>
      <w:tblPr>
        <w:tblStyle w:val="5"/>
        <w:tblpPr w:leftFromText="180" w:rightFromText="180" w:vertAnchor="text" w:horzAnchor="page" w:tblpX="1831" w:tblpY="1208"/>
        <w:tblOverlap w:val="never"/>
        <w:tblW w:w="86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0"/>
        <w:gridCol w:w="4665"/>
        <w:gridCol w:w="3315"/>
      </w:tblGrid>
      <w:tr w14:paraId="383EE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90"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22F932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4665"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046C61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单位工程名称</w:t>
            </w:r>
          </w:p>
        </w:tc>
        <w:tc>
          <w:tcPr>
            <w:tcW w:w="3315" w:type="dxa"/>
            <w:tcBorders>
              <w:top w:val="single" w:color="000000" w:sz="8" w:space="0"/>
              <w:left w:val="single" w:color="000000" w:sz="4" w:space="0"/>
              <w:bottom w:val="single" w:color="000000" w:sz="4" w:space="0"/>
              <w:right w:val="single" w:color="000000" w:sz="8" w:space="0"/>
            </w:tcBorders>
            <w:shd w:val="clear" w:color="FFFFFF" w:fill="FFFFFF"/>
            <w:vAlign w:val="center"/>
          </w:tcPr>
          <w:p w14:paraId="1FE11D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金额（元）</w:t>
            </w:r>
          </w:p>
        </w:tc>
      </w:tr>
      <w:tr w14:paraId="3B939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EA40C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351B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鄂尔多斯市党政大楼维修工程</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B49D392">
            <w:pPr>
              <w:jc w:val="right"/>
              <w:rPr>
                <w:rFonts w:hint="eastAsia" w:ascii="宋体" w:hAnsi="宋体" w:eastAsia="宋体" w:cs="宋体"/>
                <w:i w:val="0"/>
                <w:iCs w:val="0"/>
                <w:color w:val="000000"/>
                <w:sz w:val="20"/>
                <w:szCs w:val="20"/>
                <w:u w:val="none"/>
              </w:rPr>
            </w:pPr>
          </w:p>
        </w:tc>
      </w:tr>
      <w:tr w14:paraId="05098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7AAD3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92A2D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房屋修缮工程</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2021A82">
            <w:pPr>
              <w:jc w:val="right"/>
              <w:rPr>
                <w:rFonts w:hint="eastAsia" w:ascii="宋体" w:hAnsi="宋体" w:eastAsia="宋体" w:cs="宋体"/>
                <w:i w:val="0"/>
                <w:iCs w:val="0"/>
                <w:color w:val="000000"/>
                <w:sz w:val="18"/>
                <w:szCs w:val="18"/>
                <w:u w:val="none"/>
              </w:rPr>
            </w:pPr>
          </w:p>
        </w:tc>
      </w:tr>
      <w:tr w14:paraId="2B40B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53AE6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8D36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更换七氟丙烷灭火装置</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C516DC3">
            <w:pPr>
              <w:jc w:val="right"/>
              <w:rPr>
                <w:rFonts w:hint="eastAsia" w:ascii="宋体" w:hAnsi="宋体" w:eastAsia="宋体" w:cs="宋体"/>
                <w:i w:val="0"/>
                <w:iCs w:val="0"/>
                <w:color w:val="000000"/>
                <w:sz w:val="18"/>
                <w:szCs w:val="18"/>
                <w:u w:val="none"/>
              </w:rPr>
            </w:pPr>
          </w:p>
        </w:tc>
      </w:tr>
      <w:tr w14:paraId="13477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C1760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FD6A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喷泉维修工程-拆除</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4567A71">
            <w:pPr>
              <w:jc w:val="right"/>
              <w:rPr>
                <w:rFonts w:hint="eastAsia" w:ascii="宋体" w:hAnsi="宋体" w:eastAsia="宋体" w:cs="宋体"/>
                <w:i w:val="0"/>
                <w:iCs w:val="0"/>
                <w:color w:val="000000"/>
                <w:sz w:val="18"/>
                <w:szCs w:val="18"/>
                <w:u w:val="none"/>
              </w:rPr>
            </w:pPr>
          </w:p>
        </w:tc>
      </w:tr>
      <w:tr w14:paraId="31D8E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4DEE5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530D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喷泉维修工程-新建</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CDCC38D">
            <w:pPr>
              <w:jc w:val="right"/>
              <w:rPr>
                <w:rFonts w:hint="eastAsia" w:ascii="宋体" w:hAnsi="宋体" w:eastAsia="宋体" w:cs="宋体"/>
                <w:i w:val="0"/>
                <w:iCs w:val="0"/>
                <w:color w:val="000000"/>
                <w:sz w:val="18"/>
                <w:szCs w:val="18"/>
                <w:u w:val="none"/>
              </w:rPr>
            </w:pPr>
          </w:p>
        </w:tc>
      </w:tr>
      <w:tr w14:paraId="05968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A7003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A9A4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鄂尔多斯市专家公寓维修工程</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04274A4">
            <w:pPr>
              <w:jc w:val="right"/>
              <w:rPr>
                <w:rFonts w:hint="eastAsia" w:ascii="宋体" w:hAnsi="宋体" w:eastAsia="宋体" w:cs="宋体"/>
                <w:i w:val="0"/>
                <w:iCs w:val="0"/>
                <w:color w:val="000000"/>
                <w:sz w:val="20"/>
                <w:szCs w:val="20"/>
                <w:u w:val="none"/>
              </w:rPr>
            </w:pPr>
          </w:p>
        </w:tc>
      </w:tr>
      <w:tr w14:paraId="26183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E603D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1A09E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房屋修缮工程</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4CFBA50">
            <w:pPr>
              <w:jc w:val="right"/>
              <w:rPr>
                <w:rFonts w:hint="eastAsia" w:ascii="宋体" w:hAnsi="宋体" w:eastAsia="宋体" w:cs="宋体"/>
                <w:i w:val="0"/>
                <w:iCs w:val="0"/>
                <w:color w:val="000000"/>
                <w:sz w:val="18"/>
                <w:szCs w:val="18"/>
                <w:u w:val="none"/>
              </w:rPr>
            </w:pPr>
          </w:p>
        </w:tc>
      </w:tr>
      <w:tr w14:paraId="30BBC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F2B12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8B9C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建筑装饰工程</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558D6D50">
            <w:pPr>
              <w:jc w:val="right"/>
              <w:rPr>
                <w:rFonts w:hint="eastAsia" w:ascii="宋体" w:hAnsi="宋体" w:eastAsia="宋体" w:cs="宋体"/>
                <w:i w:val="0"/>
                <w:iCs w:val="0"/>
                <w:color w:val="000000"/>
                <w:sz w:val="18"/>
                <w:szCs w:val="18"/>
                <w:u w:val="none"/>
              </w:rPr>
            </w:pPr>
          </w:p>
        </w:tc>
      </w:tr>
      <w:tr w14:paraId="1AB31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77A53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54EE3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管井内采暖立管维修及室内温控阀更换</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7200957">
            <w:pPr>
              <w:jc w:val="right"/>
              <w:rPr>
                <w:rFonts w:hint="eastAsia" w:ascii="宋体" w:hAnsi="宋体" w:eastAsia="宋体" w:cs="宋体"/>
                <w:i w:val="0"/>
                <w:iCs w:val="0"/>
                <w:color w:val="000000"/>
                <w:sz w:val="18"/>
                <w:szCs w:val="18"/>
                <w:u w:val="none"/>
              </w:rPr>
            </w:pPr>
          </w:p>
        </w:tc>
      </w:tr>
      <w:tr w14:paraId="64288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B8099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5ACA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地下车库内给水、消火栓管道重新做电伴热及保温</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390612B8">
            <w:pPr>
              <w:jc w:val="right"/>
              <w:rPr>
                <w:rFonts w:hint="eastAsia" w:ascii="宋体" w:hAnsi="宋体" w:eastAsia="宋体" w:cs="宋体"/>
                <w:i w:val="0"/>
                <w:iCs w:val="0"/>
                <w:color w:val="000000"/>
                <w:sz w:val="18"/>
                <w:szCs w:val="18"/>
                <w:u w:val="none"/>
              </w:rPr>
            </w:pPr>
          </w:p>
        </w:tc>
      </w:tr>
      <w:tr w14:paraId="7BB04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5E5E8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B9CC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泵房及地库消防水维修</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9861AE4">
            <w:pPr>
              <w:jc w:val="right"/>
              <w:rPr>
                <w:rFonts w:hint="eastAsia" w:ascii="宋体" w:hAnsi="宋体" w:eastAsia="宋体" w:cs="宋体"/>
                <w:i w:val="0"/>
                <w:iCs w:val="0"/>
                <w:color w:val="000000"/>
                <w:sz w:val="18"/>
                <w:szCs w:val="18"/>
                <w:u w:val="none"/>
              </w:rPr>
            </w:pPr>
          </w:p>
        </w:tc>
      </w:tr>
      <w:tr w14:paraId="2DF44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0A9F2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049F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3#楼高位水箱间</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CB22286">
            <w:pPr>
              <w:jc w:val="right"/>
              <w:rPr>
                <w:rFonts w:hint="eastAsia" w:ascii="宋体" w:hAnsi="宋体" w:eastAsia="宋体" w:cs="宋体"/>
                <w:i w:val="0"/>
                <w:iCs w:val="0"/>
                <w:color w:val="000000"/>
                <w:sz w:val="18"/>
                <w:szCs w:val="18"/>
                <w:u w:val="none"/>
              </w:rPr>
            </w:pPr>
          </w:p>
        </w:tc>
      </w:tr>
      <w:tr w14:paraId="3B5C6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B7F35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3EF1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地库防排烟系统维修</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AD68A61">
            <w:pPr>
              <w:jc w:val="right"/>
              <w:rPr>
                <w:rFonts w:hint="eastAsia" w:ascii="宋体" w:hAnsi="宋体" w:eastAsia="宋体" w:cs="宋体"/>
                <w:i w:val="0"/>
                <w:iCs w:val="0"/>
                <w:color w:val="000000"/>
                <w:sz w:val="18"/>
                <w:szCs w:val="18"/>
                <w:u w:val="none"/>
              </w:rPr>
            </w:pPr>
          </w:p>
        </w:tc>
      </w:tr>
      <w:tr w14:paraId="0C2DB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BBCE1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3B428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地库消防电气</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6742421">
            <w:pPr>
              <w:jc w:val="right"/>
              <w:rPr>
                <w:rFonts w:hint="eastAsia" w:ascii="宋体" w:hAnsi="宋体" w:eastAsia="宋体" w:cs="宋体"/>
                <w:i w:val="0"/>
                <w:iCs w:val="0"/>
                <w:color w:val="000000"/>
                <w:sz w:val="18"/>
                <w:szCs w:val="18"/>
                <w:u w:val="none"/>
              </w:rPr>
            </w:pPr>
          </w:p>
        </w:tc>
      </w:tr>
      <w:tr w14:paraId="59A68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2109A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F015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服务楼消防电气</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0C7AE80">
            <w:pPr>
              <w:jc w:val="right"/>
              <w:rPr>
                <w:rFonts w:hint="eastAsia" w:ascii="宋体" w:hAnsi="宋体" w:eastAsia="宋体" w:cs="宋体"/>
                <w:i w:val="0"/>
                <w:iCs w:val="0"/>
                <w:color w:val="000000"/>
                <w:sz w:val="18"/>
                <w:szCs w:val="18"/>
                <w:u w:val="none"/>
              </w:rPr>
            </w:pPr>
          </w:p>
        </w:tc>
      </w:tr>
      <w:tr w14:paraId="0EEB6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B813C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726A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鄂尔多斯市T2、T5、T6市直部门办公区维修工程</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7415D236">
            <w:pPr>
              <w:jc w:val="right"/>
              <w:rPr>
                <w:rFonts w:hint="eastAsia" w:ascii="宋体" w:hAnsi="宋体" w:eastAsia="宋体" w:cs="宋体"/>
                <w:i w:val="0"/>
                <w:iCs w:val="0"/>
                <w:color w:val="000000"/>
                <w:sz w:val="20"/>
                <w:szCs w:val="20"/>
                <w:u w:val="none"/>
              </w:rPr>
            </w:pPr>
          </w:p>
        </w:tc>
      </w:tr>
      <w:tr w14:paraId="77413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9E69D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07E16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T2高位水箱间</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3FA9BDE">
            <w:pPr>
              <w:jc w:val="right"/>
              <w:rPr>
                <w:rFonts w:hint="eastAsia" w:ascii="宋体" w:hAnsi="宋体" w:eastAsia="宋体" w:cs="宋体"/>
                <w:i w:val="0"/>
                <w:iCs w:val="0"/>
                <w:color w:val="000000"/>
                <w:sz w:val="18"/>
                <w:szCs w:val="18"/>
                <w:u w:val="none"/>
              </w:rPr>
            </w:pPr>
          </w:p>
        </w:tc>
      </w:tr>
      <w:tr w14:paraId="47B7D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E8F70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D7BCD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T2、T5、T6消防电气</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4EDE6C7">
            <w:pPr>
              <w:jc w:val="right"/>
              <w:rPr>
                <w:rFonts w:hint="eastAsia" w:ascii="宋体" w:hAnsi="宋体" w:eastAsia="宋体" w:cs="宋体"/>
                <w:i w:val="0"/>
                <w:iCs w:val="0"/>
                <w:color w:val="000000"/>
                <w:sz w:val="18"/>
                <w:szCs w:val="18"/>
                <w:u w:val="none"/>
              </w:rPr>
            </w:pPr>
          </w:p>
        </w:tc>
      </w:tr>
      <w:tr w14:paraId="0CB28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0E3D0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665" w:type="dxa"/>
            <w:tcBorders>
              <w:top w:val="single" w:color="000000" w:sz="4" w:space="0"/>
              <w:left w:val="single" w:color="000000" w:sz="4" w:space="0"/>
              <w:bottom w:val="single" w:color="000000" w:sz="4" w:space="0"/>
              <w:right w:val="single" w:color="000000" w:sz="4" w:space="0"/>
            </w:tcBorders>
            <w:shd w:val="clear" w:color="FFFFFF" w:fill="auto"/>
            <w:vAlign w:val="center"/>
          </w:tcPr>
          <w:p w14:paraId="5B0D28B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暂列金</w:t>
            </w:r>
          </w:p>
        </w:tc>
        <w:tc>
          <w:tcPr>
            <w:tcW w:w="3315" w:type="dxa"/>
            <w:tcBorders>
              <w:top w:val="single" w:color="000000" w:sz="4" w:space="0"/>
              <w:left w:val="single" w:color="000000" w:sz="4" w:space="0"/>
              <w:bottom w:val="single" w:color="000000" w:sz="4" w:space="0"/>
              <w:right w:val="single" w:color="000000" w:sz="8" w:space="0"/>
            </w:tcBorders>
            <w:shd w:val="clear" w:color="FFFFFF" w:fill="auto"/>
            <w:vAlign w:val="center"/>
          </w:tcPr>
          <w:p w14:paraId="29B6DB8E">
            <w:pPr>
              <w:keepNext w:val="0"/>
              <w:keepLines w:val="0"/>
              <w:widowControl/>
              <w:suppressLineNumbers w:val="0"/>
              <w:jc w:val="righ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546090</w:t>
            </w:r>
          </w:p>
        </w:tc>
      </w:tr>
      <w:tr w14:paraId="1C2C1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44D76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4665" w:type="dxa"/>
            <w:tcBorders>
              <w:top w:val="single" w:color="000000" w:sz="4" w:space="0"/>
              <w:left w:val="single" w:color="000000" w:sz="4" w:space="0"/>
              <w:bottom w:val="single" w:color="000000" w:sz="4" w:space="0"/>
              <w:right w:val="single" w:color="000000" w:sz="4" w:space="0"/>
            </w:tcBorders>
            <w:shd w:val="clear" w:color="FFFFFF" w:fill="auto"/>
            <w:vAlign w:val="center"/>
          </w:tcPr>
          <w:p w14:paraId="4539FE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暂列金</w:t>
            </w:r>
          </w:p>
        </w:tc>
        <w:tc>
          <w:tcPr>
            <w:tcW w:w="3315" w:type="dxa"/>
            <w:tcBorders>
              <w:top w:val="single" w:color="000000" w:sz="4" w:space="0"/>
              <w:left w:val="single" w:color="000000" w:sz="4" w:space="0"/>
              <w:bottom w:val="single" w:color="000000" w:sz="4" w:space="0"/>
              <w:right w:val="single" w:color="000000" w:sz="8" w:space="0"/>
            </w:tcBorders>
            <w:shd w:val="clear" w:color="FFFFFF" w:fill="auto"/>
            <w:vAlign w:val="center"/>
          </w:tcPr>
          <w:p w14:paraId="22572FEF">
            <w:pPr>
              <w:keepNext w:val="0"/>
              <w:keepLines w:val="0"/>
              <w:widowControl/>
              <w:suppressLineNumbers w:val="0"/>
              <w:jc w:val="right"/>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546090</w:t>
            </w:r>
          </w:p>
        </w:tc>
      </w:tr>
      <w:tr w14:paraId="10858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9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18C22D5">
            <w:pPr>
              <w:rPr>
                <w:rFonts w:hint="eastAsia" w:ascii="宋体" w:hAnsi="宋体" w:eastAsia="宋体" w:cs="宋体"/>
                <w:i w:val="0"/>
                <w:iCs w:val="0"/>
                <w:color w:val="000000"/>
                <w:sz w:val="20"/>
                <w:szCs w:val="20"/>
                <w:u w:val="none"/>
              </w:rPr>
            </w:pPr>
          </w:p>
        </w:tc>
        <w:tc>
          <w:tcPr>
            <w:tcW w:w="46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8E9B1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9B3BBC8">
            <w:pPr>
              <w:jc w:val="right"/>
              <w:rPr>
                <w:rFonts w:hint="eastAsia" w:ascii="宋体" w:hAnsi="宋体" w:eastAsia="宋体" w:cs="宋体"/>
                <w:i w:val="0"/>
                <w:iCs w:val="0"/>
                <w:color w:val="000000"/>
                <w:sz w:val="20"/>
                <w:szCs w:val="20"/>
                <w:u w:val="none"/>
              </w:rPr>
            </w:pPr>
          </w:p>
        </w:tc>
      </w:tr>
    </w:tbl>
    <w:p w14:paraId="230CE2AE">
      <w:pPr>
        <w:pStyle w:val="4"/>
        <w:keepNext w:val="0"/>
        <w:keepLines w:val="0"/>
        <w:widowControl/>
        <w:suppressLineNumbers w:val="0"/>
        <w:spacing w:before="0" w:beforeAutospacing="0" w:after="0" w:afterAutospacing="0"/>
        <w:ind w:right="0"/>
        <w:jc w:val="both"/>
        <w:rPr>
          <w:rFonts w:hint="eastAsia" w:ascii="仿宋" w:hAnsi="仿宋" w:eastAsia="仿宋" w:cs="仿宋"/>
          <w:color w:val="000000"/>
          <w:kern w:val="2"/>
          <w:sz w:val="32"/>
          <w:szCs w:val="32"/>
          <w:lang w:val="en-US" w:eastAsia="zh-CN" w:bidi="ar-SA"/>
        </w:rPr>
      </w:pPr>
    </w:p>
    <w:p w14:paraId="341DE440">
      <w:pPr>
        <w:pStyle w:val="4"/>
        <w:keepNext w:val="0"/>
        <w:keepLines w:val="0"/>
        <w:widowControl/>
        <w:suppressLineNumbers w:val="0"/>
        <w:spacing w:before="0" w:beforeAutospacing="0" w:after="0" w:afterAutospacing="0"/>
        <w:ind w:right="0"/>
        <w:jc w:val="center"/>
        <w:rPr>
          <w:rFonts w:hint="eastAsia" w:ascii="仿宋" w:hAnsi="仿宋" w:eastAsia="仿宋" w:cs="仿宋"/>
          <w:color w:val="000000"/>
          <w:kern w:val="2"/>
          <w:sz w:val="32"/>
          <w:szCs w:val="32"/>
          <w:lang w:val="en-US" w:eastAsia="zh-CN" w:bidi="ar-SA"/>
        </w:rPr>
      </w:pPr>
    </w:p>
    <w:p w14:paraId="6FE3BEE4">
      <w:pPr>
        <w:pStyle w:val="4"/>
        <w:keepNext w:val="0"/>
        <w:keepLines w:val="0"/>
        <w:widowControl/>
        <w:suppressLineNumbers w:val="0"/>
        <w:spacing w:before="0" w:beforeAutospacing="0" w:after="0" w:afterAutospacing="0"/>
        <w:ind w:right="0"/>
        <w:jc w:val="center"/>
        <w:rPr>
          <w:rFonts w:hint="eastAsia" w:ascii="仿宋" w:hAnsi="仿宋" w:eastAsia="仿宋" w:cs="仿宋"/>
          <w:color w:val="000000"/>
          <w:kern w:val="2"/>
          <w:sz w:val="32"/>
          <w:szCs w:val="32"/>
          <w:lang w:val="en-US" w:eastAsia="zh-CN" w:bidi="ar-SA"/>
        </w:rPr>
      </w:pPr>
    </w:p>
    <w:p w14:paraId="7B3030A7">
      <w:pPr>
        <w:pStyle w:val="4"/>
        <w:keepNext w:val="0"/>
        <w:keepLines w:val="0"/>
        <w:widowControl/>
        <w:suppressLineNumbers w:val="0"/>
        <w:spacing w:before="0" w:beforeAutospacing="0" w:after="0" w:afterAutospacing="0"/>
        <w:ind w:right="0"/>
        <w:rPr>
          <w:rFonts w:hint="eastAsia" w:ascii="仿宋" w:hAnsi="仿宋" w:eastAsia="仿宋" w:cs="仿宋"/>
          <w:color w:val="000000"/>
          <w:kern w:val="2"/>
          <w:sz w:val="28"/>
          <w:szCs w:val="28"/>
          <w:lang w:val="en-US" w:eastAsia="zh-CN" w:bidi="ar-SA"/>
        </w:rPr>
      </w:pPr>
    </w:p>
    <w:p w14:paraId="08B5ECC5">
      <w:pPr>
        <w:pStyle w:val="4"/>
        <w:keepNext w:val="0"/>
        <w:keepLines w:val="0"/>
        <w:widowControl/>
        <w:suppressLineNumbers w:val="0"/>
        <w:spacing w:before="0" w:beforeAutospacing="0" w:after="0" w:afterAutospacing="0"/>
        <w:ind w:right="0"/>
        <w:rPr>
          <w:rFonts w:hint="eastAsia" w:ascii="仿宋" w:hAnsi="仿宋" w:eastAsia="仿宋" w:cs="仿宋"/>
          <w:color w:val="000000"/>
          <w:kern w:val="2"/>
          <w:sz w:val="28"/>
          <w:szCs w:val="28"/>
          <w:lang w:val="en-US" w:eastAsia="zh-CN" w:bidi="ar-SA"/>
        </w:rPr>
      </w:pPr>
    </w:p>
    <w:p w14:paraId="01B354D3">
      <w:pPr>
        <w:snapToGrid w:val="0"/>
        <w:spacing w:before="0" w:after="0" w:line="360" w:lineRule="auto"/>
        <w:ind w:right="0"/>
        <w:jc w:val="left"/>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附表二</w:t>
      </w:r>
    </w:p>
    <w:p w14:paraId="7902D99A">
      <w:pPr>
        <w:snapToGrid w:val="0"/>
        <w:spacing w:before="0" w:after="0" w:line="360" w:lineRule="auto"/>
        <w:ind w:right="0"/>
        <w:jc w:val="left"/>
        <w:rPr>
          <w:rFonts w:hint="eastAsia" w:ascii="仿宋" w:hAnsi="仿宋" w:eastAsia="仿宋" w:cs="仿宋"/>
          <w:b/>
          <w:bCs/>
          <w:color w:val="auto"/>
          <w:sz w:val="28"/>
          <w:szCs w:val="28"/>
          <w:lang w:val="en-US" w:eastAsia="zh-CN"/>
        </w:rPr>
      </w:pPr>
    </w:p>
    <w:p w14:paraId="6BC531E7">
      <w:pPr>
        <w:snapToGrid w:val="0"/>
        <w:spacing w:before="0" w:after="0" w:line="360" w:lineRule="auto"/>
        <w:ind w:right="0"/>
        <w:jc w:val="center"/>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主要材料、设备性能技术指标参考表</w:t>
      </w:r>
    </w:p>
    <w:tbl>
      <w:tblPr>
        <w:tblStyle w:val="6"/>
        <w:tblW w:w="492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60" w:type="dxa"/>
          <w:bottom w:w="120" w:type="dxa"/>
          <w:right w:w="60" w:type="dxa"/>
        </w:tblCellMar>
      </w:tblPr>
      <w:tblGrid>
        <w:gridCol w:w="651"/>
        <w:gridCol w:w="2959"/>
        <w:gridCol w:w="649"/>
        <w:gridCol w:w="4218"/>
        <w:gridCol w:w="954"/>
      </w:tblGrid>
      <w:tr w14:paraId="4AC33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80" w:hRule="atLeast"/>
        </w:trPr>
        <w:tc>
          <w:tcPr>
            <w:tcW w:w="651" w:type="dxa"/>
            <w:tcBorders>
              <w:top w:val="single" w:color="000000" w:sz="8" w:space="0"/>
              <w:left w:val="single" w:color="000000" w:sz="8" w:space="0"/>
              <w:bottom w:val="single" w:color="000000" w:sz="8" w:space="0"/>
              <w:right w:val="single" w:color="000000" w:sz="8" w:space="0"/>
            </w:tcBorders>
            <w:vAlign w:val="center"/>
          </w:tcPr>
          <w:p w14:paraId="70482ECF">
            <w:pPr>
              <w:snapToGrid w:val="0"/>
              <w:spacing w:before="60" w:after="60" w:line="312" w:lineRule="auto"/>
              <w:jc w:val="center"/>
              <w:rPr>
                <w:rFonts w:hint="eastAsia" w:ascii="仿宋" w:hAnsi="仿宋" w:eastAsia="仿宋" w:cs="仿宋"/>
                <w:color w:val="333333"/>
                <w:sz w:val="21"/>
                <w:szCs w:val="21"/>
              </w:rPr>
            </w:pPr>
            <w:r>
              <w:rPr>
                <w:rFonts w:hint="eastAsia" w:ascii="仿宋" w:hAnsi="仿宋" w:eastAsia="仿宋" w:cs="仿宋"/>
                <w:color w:val="333333"/>
                <w:sz w:val="22"/>
                <w:szCs w:val="22"/>
              </w:rPr>
              <w:t>序号</w:t>
            </w:r>
          </w:p>
        </w:tc>
        <w:tc>
          <w:tcPr>
            <w:tcW w:w="2959" w:type="dxa"/>
            <w:tcBorders>
              <w:top w:val="single" w:color="000000" w:sz="8" w:space="0"/>
              <w:left w:val="single" w:color="000000" w:sz="8" w:space="0"/>
              <w:bottom w:val="single" w:color="000000" w:sz="8" w:space="0"/>
              <w:right w:val="single" w:color="000000" w:sz="8" w:space="0"/>
            </w:tcBorders>
            <w:vAlign w:val="center"/>
          </w:tcPr>
          <w:p w14:paraId="65ABE864">
            <w:pPr>
              <w:snapToGrid w:val="0"/>
              <w:spacing w:before="60" w:after="60" w:line="312" w:lineRule="auto"/>
              <w:jc w:val="center"/>
              <w:rPr>
                <w:rFonts w:hint="eastAsia" w:ascii="仿宋" w:hAnsi="仿宋" w:eastAsia="仿宋" w:cs="仿宋"/>
                <w:color w:val="333333"/>
                <w:sz w:val="21"/>
                <w:szCs w:val="21"/>
              </w:rPr>
            </w:pPr>
            <w:r>
              <w:rPr>
                <w:rFonts w:hint="eastAsia" w:ascii="仿宋" w:hAnsi="仿宋" w:eastAsia="仿宋" w:cs="仿宋"/>
                <w:color w:val="333333"/>
                <w:sz w:val="22"/>
                <w:szCs w:val="22"/>
              </w:rPr>
              <w:t>名称</w:t>
            </w:r>
          </w:p>
        </w:tc>
        <w:tc>
          <w:tcPr>
            <w:tcW w:w="649" w:type="dxa"/>
            <w:tcBorders>
              <w:top w:val="single" w:color="000000" w:sz="8" w:space="0"/>
              <w:left w:val="single" w:color="000000" w:sz="8" w:space="0"/>
              <w:bottom w:val="single" w:color="000000" w:sz="8" w:space="0"/>
              <w:right w:val="single" w:color="000000" w:sz="8" w:space="0"/>
            </w:tcBorders>
            <w:vAlign w:val="center"/>
          </w:tcPr>
          <w:p w14:paraId="1FC3E5F3">
            <w:pPr>
              <w:snapToGrid w:val="0"/>
              <w:spacing w:before="60" w:after="60" w:line="312" w:lineRule="auto"/>
              <w:jc w:val="center"/>
              <w:rPr>
                <w:rFonts w:hint="eastAsia" w:ascii="仿宋" w:hAnsi="仿宋" w:eastAsia="仿宋" w:cs="仿宋"/>
                <w:color w:val="333333"/>
                <w:sz w:val="21"/>
                <w:szCs w:val="21"/>
              </w:rPr>
            </w:pPr>
            <w:r>
              <w:rPr>
                <w:rFonts w:hint="eastAsia" w:ascii="仿宋" w:hAnsi="仿宋" w:eastAsia="仿宋" w:cs="仿宋"/>
                <w:color w:val="333333"/>
                <w:sz w:val="22"/>
                <w:szCs w:val="22"/>
              </w:rPr>
              <w:t>单位</w:t>
            </w:r>
          </w:p>
        </w:tc>
        <w:tc>
          <w:tcPr>
            <w:tcW w:w="4218" w:type="dxa"/>
            <w:tcBorders>
              <w:top w:val="single" w:color="000000" w:sz="8" w:space="0"/>
              <w:left w:val="single" w:color="000000" w:sz="8" w:space="0"/>
              <w:bottom w:val="single" w:color="000000" w:sz="8" w:space="0"/>
              <w:right w:val="single" w:color="000000" w:sz="8" w:space="0"/>
            </w:tcBorders>
            <w:vAlign w:val="center"/>
          </w:tcPr>
          <w:p w14:paraId="5C902CEE">
            <w:pPr>
              <w:snapToGrid w:val="0"/>
              <w:spacing w:before="60" w:after="60" w:line="312" w:lineRule="auto"/>
              <w:jc w:val="center"/>
              <w:rPr>
                <w:rFonts w:hint="eastAsia" w:ascii="仿宋" w:hAnsi="仿宋" w:eastAsia="仿宋" w:cs="仿宋"/>
                <w:color w:val="333333"/>
                <w:sz w:val="21"/>
                <w:szCs w:val="21"/>
              </w:rPr>
            </w:pPr>
            <w:r>
              <w:rPr>
                <w:rFonts w:hint="eastAsia" w:ascii="仿宋" w:hAnsi="仿宋" w:eastAsia="仿宋" w:cs="仿宋"/>
                <w:color w:val="333333"/>
                <w:sz w:val="22"/>
                <w:szCs w:val="22"/>
                <w:lang w:val="en-US" w:eastAsia="zh-CN"/>
              </w:rPr>
              <w:t>参考品牌</w:t>
            </w:r>
          </w:p>
        </w:tc>
        <w:tc>
          <w:tcPr>
            <w:tcW w:w="954" w:type="dxa"/>
            <w:tcBorders>
              <w:top w:val="single" w:color="000000" w:sz="8" w:space="0"/>
              <w:left w:val="single" w:color="000000" w:sz="8" w:space="0"/>
              <w:bottom w:val="single" w:color="000000" w:sz="8" w:space="0"/>
              <w:right w:val="single" w:color="000000" w:sz="8" w:space="0"/>
            </w:tcBorders>
            <w:vAlign w:val="center"/>
          </w:tcPr>
          <w:p w14:paraId="777C8487">
            <w:pPr>
              <w:snapToGrid w:val="0"/>
              <w:spacing w:before="60" w:after="60" w:line="312" w:lineRule="auto"/>
              <w:jc w:val="center"/>
              <w:rPr>
                <w:rFonts w:hint="eastAsia" w:ascii="仿宋" w:hAnsi="仿宋" w:eastAsia="仿宋" w:cs="仿宋"/>
                <w:color w:val="333333"/>
                <w:sz w:val="21"/>
                <w:szCs w:val="21"/>
              </w:rPr>
            </w:pPr>
            <w:r>
              <w:rPr>
                <w:rFonts w:hint="eastAsia" w:ascii="仿宋" w:hAnsi="仿宋" w:eastAsia="仿宋" w:cs="仿宋"/>
                <w:i w:val="0"/>
                <w:iCs w:val="0"/>
                <w:color w:val="000000"/>
                <w:kern w:val="0"/>
                <w:sz w:val="22"/>
                <w:szCs w:val="22"/>
                <w:u w:val="none"/>
                <w:lang w:val="en-US" w:eastAsia="zh-CN" w:bidi="ar"/>
              </w:rPr>
              <w:t>投标品牌</w:t>
            </w:r>
          </w:p>
        </w:tc>
      </w:tr>
      <w:tr w14:paraId="52E0A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651" w:type="dxa"/>
            <w:tcBorders>
              <w:top w:val="single" w:color="000000" w:sz="8" w:space="0"/>
              <w:left w:val="single" w:color="000000" w:sz="8" w:space="0"/>
              <w:bottom w:val="single" w:color="000000" w:sz="8" w:space="0"/>
              <w:right w:val="single" w:color="000000" w:sz="8" w:space="0"/>
            </w:tcBorders>
            <w:vAlign w:val="center"/>
          </w:tcPr>
          <w:p w14:paraId="07132349">
            <w:pPr>
              <w:snapToGrid w:val="0"/>
              <w:spacing w:before="60" w:after="60" w:line="312" w:lineRule="auto"/>
              <w:jc w:val="center"/>
              <w:rPr>
                <w:rFonts w:hint="default" w:ascii="仿宋" w:hAnsi="仿宋" w:eastAsia="仿宋" w:cs="仿宋"/>
                <w:color w:val="333333"/>
                <w:kern w:val="0"/>
                <w:sz w:val="21"/>
                <w:szCs w:val="21"/>
                <w:lang w:val="en-US" w:eastAsia="zh-CN" w:bidi="ar"/>
              </w:rPr>
            </w:pPr>
            <w:r>
              <w:rPr>
                <w:rFonts w:hint="eastAsia" w:ascii="仿宋" w:hAnsi="仿宋" w:eastAsia="仿宋" w:cs="仿宋"/>
                <w:color w:val="333333"/>
                <w:kern w:val="0"/>
                <w:sz w:val="22"/>
                <w:szCs w:val="22"/>
                <w:lang w:val="en-US" w:eastAsia="zh-CN" w:bidi="ar"/>
              </w:rPr>
              <w:t>1</w:t>
            </w:r>
          </w:p>
        </w:tc>
        <w:tc>
          <w:tcPr>
            <w:tcW w:w="2959" w:type="dxa"/>
            <w:tcBorders>
              <w:top w:val="single" w:color="000000" w:sz="8" w:space="0"/>
              <w:left w:val="single" w:color="000000" w:sz="8" w:space="0"/>
              <w:bottom w:val="single" w:color="000000" w:sz="8" w:space="0"/>
              <w:right w:val="single" w:color="000000" w:sz="8" w:space="0"/>
            </w:tcBorders>
            <w:vAlign w:val="center"/>
          </w:tcPr>
          <w:p w14:paraId="2082F6EC">
            <w:pPr>
              <w:keepNext w:val="0"/>
              <w:keepLines w:val="0"/>
              <w:widowControl/>
              <w:suppressLineNumbers w:val="0"/>
              <w:jc w:val="center"/>
              <w:textAlignment w:val="center"/>
              <w:rPr>
                <w:rFonts w:hint="default" w:ascii="仿宋" w:hAnsi="仿宋" w:eastAsia="仿宋" w:cs="仿宋"/>
                <w:i w:val="0"/>
                <w:color w:val="000000"/>
                <w:kern w:val="0"/>
                <w:sz w:val="21"/>
                <w:szCs w:val="21"/>
                <w:highlight w:val="none"/>
                <w:u w:val="none"/>
                <w:lang w:val="en-US" w:eastAsia="zh-CN" w:bidi="ar"/>
              </w:rPr>
            </w:pPr>
            <w:r>
              <w:rPr>
                <w:rFonts w:hint="eastAsia" w:ascii="仿宋" w:hAnsi="仿宋" w:eastAsia="仿宋" w:cs="仿宋"/>
                <w:color w:val="000000"/>
                <w:kern w:val="0"/>
                <w:sz w:val="22"/>
                <w:szCs w:val="22"/>
                <w:highlight w:val="none"/>
                <w:lang w:val="en-US" w:eastAsia="zh-CN" w:bidi="ar"/>
              </w:rPr>
              <w:t>防水涂料</w:t>
            </w:r>
          </w:p>
        </w:tc>
        <w:tc>
          <w:tcPr>
            <w:tcW w:w="649" w:type="dxa"/>
            <w:tcBorders>
              <w:top w:val="single" w:color="000000" w:sz="8" w:space="0"/>
              <w:left w:val="single" w:color="000000" w:sz="8" w:space="0"/>
              <w:bottom w:val="single" w:color="000000" w:sz="8" w:space="0"/>
              <w:right w:val="single" w:color="000000" w:sz="8" w:space="0"/>
            </w:tcBorders>
            <w:vAlign w:val="center"/>
          </w:tcPr>
          <w:p w14:paraId="15C3178F">
            <w:pPr>
              <w:snapToGrid w:val="0"/>
              <w:spacing w:before="60" w:after="60" w:line="312" w:lineRule="auto"/>
              <w:jc w:val="center"/>
              <w:rPr>
                <w:rFonts w:hint="eastAsia" w:ascii="仿宋" w:hAnsi="仿宋" w:eastAsia="仿宋" w:cs="仿宋"/>
                <w:color w:val="333333"/>
                <w:sz w:val="21"/>
                <w:szCs w:val="21"/>
                <w:highlight w:val="none"/>
                <w:lang w:val="en-US" w:eastAsia="zh-CN"/>
              </w:rPr>
            </w:pPr>
            <w:r>
              <w:rPr>
                <w:rFonts w:hint="eastAsia" w:ascii="仿宋" w:hAnsi="仿宋" w:eastAsia="仿宋" w:cs="仿宋"/>
                <w:color w:val="000000"/>
                <w:kern w:val="0"/>
                <w:sz w:val="22"/>
                <w:szCs w:val="22"/>
                <w:highlight w:val="none"/>
                <w:lang w:bidi="ar"/>
              </w:rPr>
              <w:t>m2</w:t>
            </w:r>
          </w:p>
        </w:tc>
        <w:tc>
          <w:tcPr>
            <w:tcW w:w="4218" w:type="dxa"/>
            <w:tcBorders>
              <w:top w:val="single" w:color="000000" w:sz="8" w:space="0"/>
              <w:left w:val="single" w:color="000000" w:sz="8" w:space="0"/>
              <w:bottom w:val="single" w:color="000000" w:sz="8" w:space="0"/>
              <w:right w:val="single" w:color="000000" w:sz="8" w:space="0"/>
            </w:tcBorders>
            <w:vAlign w:val="center"/>
          </w:tcPr>
          <w:p w14:paraId="3AA01815">
            <w:pPr>
              <w:snapToGrid w:val="0"/>
              <w:spacing w:before="60" w:after="60" w:line="312" w:lineRule="auto"/>
              <w:jc w:val="center"/>
              <w:rPr>
                <w:rFonts w:hint="eastAsia" w:ascii="仿宋" w:hAnsi="仿宋" w:eastAsia="仿宋" w:cs="仿宋"/>
                <w:color w:val="333333"/>
                <w:sz w:val="22"/>
                <w:szCs w:val="22"/>
                <w:highlight w:val="none"/>
              </w:rPr>
            </w:pPr>
            <w:r>
              <w:rPr>
                <w:rFonts w:hint="eastAsia" w:ascii="仿宋" w:hAnsi="仿宋" w:eastAsia="仿宋" w:cs="仿宋"/>
                <w:color w:val="333333"/>
                <w:sz w:val="22"/>
                <w:szCs w:val="22"/>
                <w:highlight w:val="none"/>
              </w:rPr>
              <w:t>相当于</w:t>
            </w:r>
            <w:r>
              <w:rPr>
                <w:rFonts w:hint="eastAsia" w:ascii="仿宋" w:hAnsi="仿宋" w:eastAsia="仿宋" w:cs="仿宋"/>
                <w:color w:val="333333"/>
                <w:sz w:val="22"/>
                <w:szCs w:val="22"/>
                <w:highlight w:val="none"/>
                <w:lang w:val="en-US" w:eastAsia="zh-CN"/>
              </w:rPr>
              <w:t>东方雨虹、科顺、LEAC</w:t>
            </w:r>
          </w:p>
          <w:p w14:paraId="29BD1312">
            <w:pPr>
              <w:snapToGrid w:val="0"/>
              <w:spacing w:before="60" w:after="60" w:line="312" w:lineRule="auto"/>
              <w:jc w:val="center"/>
              <w:rPr>
                <w:rFonts w:hint="eastAsia" w:ascii="仿宋" w:hAnsi="仿宋" w:eastAsia="仿宋" w:cs="仿宋"/>
                <w:color w:val="333333"/>
                <w:sz w:val="20"/>
                <w:szCs w:val="20"/>
                <w:highlight w:val="none"/>
                <w:lang w:val="en-US" w:eastAsia="zh-CN"/>
              </w:rPr>
            </w:pPr>
            <w:r>
              <w:rPr>
                <w:rFonts w:hint="eastAsia" w:ascii="仿宋" w:hAnsi="仿宋" w:eastAsia="仿宋" w:cs="仿宋"/>
                <w:color w:val="333333"/>
                <w:sz w:val="22"/>
                <w:szCs w:val="22"/>
                <w:highlight w:val="none"/>
                <w:lang w:val="en-US" w:eastAsia="zh-CN"/>
              </w:rPr>
              <w:t>等</w:t>
            </w:r>
            <w:r>
              <w:rPr>
                <w:rFonts w:hint="eastAsia" w:ascii="仿宋" w:hAnsi="仿宋" w:eastAsia="仿宋" w:cs="仿宋"/>
                <w:color w:val="333333"/>
                <w:sz w:val="22"/>
                <w:szCs w:val="22"/>
                <w:highlight w:val="none"/>
              </w:rPr>
              <w:t>中档及以上品牌</w:t>
            </w:r>
          </w:p>
        </w:tc>
        <w:tc>
          <w:tcPr>
            <w:tcW w:w="954" w:type="dxa"/>
            <w:tcBorders>
              <w:top w:val="single" w:color="000000" w:sz="8" w:space="0"/>
              <w:left w:val="single" w:color="000000" w:sz="8" w:space="0"/>
              <w:bottom w:val="single" w:color="000000" w:sz="8" w:space="0"/>
              <w:right w:val="single" w:color="000000" w:sz="8" w:space="0"/>
            </w:tcBorders>
            <w:vAlign w:val="center"/>
          </w:tcPr>
          <w:p w14:paraId="2AA0AAC9">
            <w:pPr>
              <w:snapToGrid w:val="0"/>
              <w:spacing w:before="60" w:after="60" w:line="312" w:lineRule="auto"/>
              <w:jc w:val="center"/>
              <w:rPr>
                <w:rFonts w:hint="eastAsia" w:ascii="仿宋" w:hAnsi="仿宋" w:eastAsia="仿宋" w:cs="仿宋"/>
                <w:color w:val="333333"/>
                <w:sz w:val="21"/>
                <w:szCs w:val="21"/>
              </w:rPr>
            </w:pPr>
          </w:p>
        </w:tc>
      </w:tr>
      <w:tr w14:paraId="38F9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90" w:hRule="atLeast"/>
        </w:trPr>
        <w:tc>
          <w:tcPr>
            <w:tcW w:w="651" w:type="dxa"/>
            <w:tcBorders>
              <w:top w:val="single" w:color="000000" w:sz="8" w:space="0"/>
              <w:left w:val="single" w:color="000000" w:sz="8" w:space="0"/>
              <w:bottom w:val="single" w:color="000000" w:sz="8" w:space="0"/>
              <w:right w:val="single" w:color="000000" w:sz="8" w:space="0"/>
            </w:tcBorders>
            <w:vAlign w:val="center"/>
          </w:tcPr>
          <w:p w14:paraId="48F08046">
            <w:pPr>
              <w:snapToGrid w:val="0"/>
              <w:spacing w:before="60" w:after="60" w:line="312" w:lineRule="auto"/>
              <w:jc w:val="center"/>
              <w:rPr>
                <w:rFonts w:hint="default" w:ascii="仿宋" w:hAnsi="仿宋" w:eastAsia="仿宋" w:cs="仿宋"/>
                <w:color w:val="333333"/>
                <w:kern w:val="0"/>
                <w:sz w:val="22"/>
                <w:szCs w:val="22"/>
                <w:lang w:val="en-US" w:eastAsia="zh-CN" w:bidi="ar"/>
              </w:rPr>
            </w:pPr>
            <w:r>
              <w:rPr>
                <w:rFonts w:hint="eastAsia" w:ascii="仿宋" w:hAnsi="仿宋" w:eastAsia="仿宋" w:cs="仿宋"/>
                <w:color w:val="333333"/>
                <w:kern w:val="0"/>
                <w:sz w:val="22"/>
                <w:szCs w:val="22"/>
                <w:lang w:val="en-US" w:eastAsia="zh-CN" w:bidi="ar"/>
              </w:rPr>
              <w:t>2</w:t>
            </w:r>
          </w:p>
        </w:tc>
        <w:tc>
          <w:tcPr>
            <w:tcW w:w="295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A8BBAA">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钢材</w:t>
            </w:r>
          </w:p>
        </w:tc>
        <w:tc>
          <w:tcPr>
            <w:tcW w:w="649" w:type="dxa"/>
            <w:tcBorders>
              <w:top w:val="single" w:color="000000" w:sz="8" w:space="0"/>
              <w:left w:val="single" w:color="000000" w:sz="8" w:space="0"/>
              <w:bottom w:val="single" w:color="000000" w:sz="8" w:space="0"/>
              <w:right w:val="single" w:color="000000" w:sz="8" w:space="0"/>
            </w:tcBorders>
            <w:vAlign w:val="center"/>
          </w:tcPr>
          <w:p w14:paraId="345107B2">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p>
        </w:tc>
        <w:tc>
          <w:tcPr>
            <w:tcW w:w="42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F51F33">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相当于包钢、首钢、鞍钢等中档及以上品牌</w:t>
            </w:r>
          </w:p>
        </w:tc>
        <w:tc>
          <w:tcPr>
            <w:tcW w:w="954" w:type="dxa"/>
            <w:tcBorders>
              <w:top w:val="single" w:color="000000" w:sz="8" w:space="0"/>
              <w:left w:val="single" w:color="000000" w:sz="8" w:space="0"/>
              <w:bottom w:val="single" w:color="000000" w:sz="8" w:space="0"/>
              <w:right w:val="single" w:color="000000" w:sz="8" w:space="0"/>
            </w:tcBorders>
            <w:vAlign w:val="center"/>
          </w:tcPr>
          <w:p w14:paraId="71A99B17">
            <w:pPr>
              <w:snapToGrid w:val="0"/>
              <w:spacing w:before="60" w:after="60" w:line="312" w:lineRule="auto"/>
              <w:jc w:val="center"/>
              <w:rPr>
                <w:rFonts w:hint="eastAsia" w:ascii="仿宋" w:hAnsi="仿宋" w:eastAsia="仿宋" w:cs="仿宋"/>
                <w:color w:val="333333"/>
                <w:sz w:val="21"/>
                <w:szCs w:val="21"/>
              </w:rPr>
            </w:pPr>
          </w:p>
        </w:tc>
      </w:tr>
      <w:tr w14:paraId="25D53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90" w:hRule="atLeast"/>
        </w:trPr>
        <w:tc>
          <w:tcPr>
            <w:tcW w:w="651" w:type="dxa"/>
            <w:tcBorders>
              <w:top w:val="single" w:color="000000" w:sz="8" w:space="0"/>
              <w:left w:val="single" w:color="000000" w:sz="8" w:space="0"/>
              <w:bottom w:val="single" w:color="000000" w:sz="8" w:space="0"/>
              <w:right w:val="single" w:color="000000" w:sz="8" w:space="0"/>
            </w:tcBorders>
            <w:vAlign w:val="center"/>
          </w:tcPr>
          <w:p w14:paraId="6E68B671">
            <w:pPr>
              <w:snapToGrid w:val="0"/>
              <w:spacing w:before="60" w:after="60" w:line="312" w:lineRule="auto"/>
              <w:jc w:val="center"/>
              <w:rPr>
                <w:rFonts w:hint="default" w:ascii="仿宋" w:hAnsi="仿宋" w:eastAsia="仿宋" w:cs="仿宋"/>
                <w:color w:val="333333"/>
                <w:kern w:val="0"/>
                <w:sz w:val="22"/>
                <w:szCs w:val="22"/>
                <w:lang w:val="en-US" w:eastAsia="zh-CN" w:bidi="ar"/>
              </w:rPr>
            </w:pPr>
            <w:r>
              <w:rPr>
                <w:rFonts w:hint="eastAsia" w:ascii="仿宋" w:hAnsi="仿宋" w:eastAsia="仿宋" w:cs="仿宋"/>
                <w:color w:val="333333"/>
                <w:kern w:val="0"/>
                <w:sz w:val="22"/>
                <w:szCs w:val="22"/>
                <w:lang w:val="en-US" w:eastAsia="zh-CN" w:bidi="ar"/>
              </w:rPr>
              <w:t>3</w:t>
            </w:r>
          </w:p>
        </w:tc>
        <w:tc>
          <w:tcPr>
            <w:tcW w:w="295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4AFCDA">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水泥</w:t>
            </w:r>
          </w:p>
        </w:tc>
        <w:tc>
          <w:tcPr>
            <w:tcW w:w="649" w:type="dxa"/>
            <w:tcBorders>
              <w:top w:val="single" w:color="000000" w:sz="8" w:space="0"/>
              <w:left w:val="single" w:color="000000" w:sz="8" w:space="0"/>
              <w:bottom w:val="single" w:color="000000" w:sz="8" w:space="0"/>
              <w:right w:val="single" w:color="000000" w:sz="8" w:space="0"/>
            </w:tcBorders>
            <w:vAlign w:val="center"/>
          </w:tcPr>
          <w:p w14:paraId="5F55AB3A">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p>
        </w:tc>
        <w:tc>
          <w:tcPr>
            <w:tcW w:w="42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46EF68">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相当于蒙西、草原、中联等中档及以上品牌</w:t>
            </w:r>
          </w:p>
        </w:tc>
        <w:tc>
          <w:tcPr>
            <w:tcW w:w="954" w:type="dxa"/>
            <w:tcBorders>
              <w:top w:val="single" w:color="000000" w:sz="8" w:space="0"/>
              <w:left w:val="single" w:color="000000" w:sz="8" w:space="0"/>
              <w:bottom w:val="single" w:color="000000" w:sz="8" w:space="0"/>
              <w:right w:val="single" w:color="000000" w:sz="8" w:space="0"/>
            </w:tcBorders>
            <w:vAlign w:val="center"/>
          </w:tcPr>
          <w:p w14:paraId="617FC169">
            <w:pPr>
              <w:snapToGrid w:val="0"/>
              <w:spacing w:before="60" w:after="60" w:line="312" w:lineRule="auto"/>
              <w:jc w:val="center"/>
              <w:rPr>
                <w:rFonts w:hint="eastAsia" w:ascii="仿宋" w:hAnsi="仿宋" w:eastAsia="仿宋" w:cs="仿宋"/>
                <w:color w:val="333333"/>
                <w:sz w:val="21"/>
                <w:szCs w:val="21"/>
              </w:rPr>
            </w:pPr>
          </w:p>
        </w:tc>
      </w:tr>
      <w:tr w14:paraId="31E5A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651" w:type="dxa"/>
            <w:tcBorders>
              <w:top w:val="single" w:color="000000" w:sz="8" w:space="0"/>
              <w:left w:val="single" w:color="000000" w:sz="8" w:space="0"/>
              <w:bottom w:val="single" w:color="000000" w:sz="8" w:space="0"/>
              <w:right w:val="single" w:color="000000" w:sz="8" w:space="0"/>
            </w:tcBorders>
            <w:vAlign w:val="center"/>
          </w:tcPr>
          <w:p w14:paraId="3D480442">
            <w:pPr>
              <w:snapToGrid w:val="0"/>
              <w:spacing w:before="60" w:after="60" w:line="312" w:lineRule="auto"/>
              <w:jc w:val="center"/>
              <w:rPr>
                <w:rFonts w:hint="default" w:ascii="仿宋" w:hAnsi="仿宋" w:eastAsia="仿宋" w:cs="仿宋"/>
                <w:color w:val="333333"/>
                <w:kern w:val="0"/>
                <w:sz w:val="21"/>
                <w:szCs w:val="21"/>
                <w:lang w:val="en-US" w:eastAsia="zh-CN" w:bidi="ar"/>
              </w:rPr>
            </w:pPr>
            <w:r>
              <w:rPr>
                <w:rFonts w:hint="eastAsia" w:ascii="仿宋" w:hAnsi="仿宋" w:eastAsia="仿宋" w:cs="仿宋"/>
                <w:color w:val="333333"/>
                <w:kern w:val="0"/>
                <w:sz w:val="22"/>
                <w:szCs w:val="22"/>
                <w:lang w:val="en-US" w:eastAsia="zh-CN" w:bidi="ar"/>
              </w:rPr>
              <w:t>4</w:t>
            </w:r>
          </w:p>
        </w:tc>
        <w:tc>
          <w:tcPr>
            <w:tcW w:w="2959" w:type="dxa"/>
            <w:tcBorders>
              <w:top w:val="single" w:color="000000" w:sz="8" w:space="0"/>
              <w:left w:val="single" w:color="000000" w:sz="8" w:space="0"/>
              <w:bottom w:val="single" w:color="000000" w:sz="8" w:space="0"/>
              <w:right w:val="single" w:color="000000" w:sz="8" w:space="0"/>
            </w:tcBorders>
            <w:vAlign w:val="center"/>
          </w:tcPr>
          <w:p w14:paraId="7AD98595">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电缆、电线</w:t>
            </w:r>
          </w:p>
        </w:tc>
        <w:tc>
          <w:tcPr>
            <w:tcW w:w="649" w:type="dxa"/>
            <w:tcBorders>
              <w:top w:val="single" w:color="000000" w:sz="8" w:space="0"/>
              <w:left w:val="single" w:color="000000" w:sz="8" w:space="0"/>
              <w:bottom w:val="single" w:color="000000" w:sz="8" w:space="0"/>
              <w:right w:val="single" w:color="000000" w:sz="8" w:space="0"/>
            </w:tcBorders>
            <w:vAlign w:val="center"/>
          </w:tcPr>
          <w:p w14:paraId="18EF5EDF">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m</w:t>
            </w:r>
          </w:p>
        </w:tc>
        <w:tc>
          <w:tcPr>
            <w:tcW w:w="42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5852A1">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相当于鑫万蒙、津达、扬子等中档及以上品牌</w:t>
            </w:r>
          </w:p>
        </w:tc>
        <w:tc>
          <w:tcPr>
            <w:tcW w:w="954" w:type="dxa"/>
            <w:tcBorders>
              <w:top w:val="single" w:color="000000" w:sz="8" w:space="0"/>
              <w:left w:val="single" w:color="000000" w:sz="8" w:space="0"/>
              <w:bottom w:val="single" w:color="000000" w:sz="8" w:space="0"/>
              <w:right w:val="single" w:color="000000" w:sz="8" w:space="0"/>
            </w:tcBorders>
            <w:vAlign w:val="center"/>
          </w:tcPr>
          <w:p w14:paraId="44927576">
            <w:pPr>
              <w:snapToGrid w:val="0"/>
              <w:spacing w:before="60" w:after="60" w:line="312" w:lineRule="auto"/>
              <w:jc w:val="center"/>
              <w:rPr>
                <w:rFonts w:hint="eastAsia" w:ascii="仿宋" w:hAnsi="仿宋" w:eastAsia="仿宋" w:cs="仿宋"/>
                <w:color w:val="333333"/>
                <w:sz w:val="21"/>
                <w:szCs w:val="21"/>
              </w:rPr>
            </w:pPr>
          </w:p>
        </w:tc>
      </w:tr>
      <w:tr w14:paraId="0EB26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651" w:type="dxa"/>
            <w:tcBorders>
              <w:top w:val="single" w:color="000000" w:sz="8" w:space="0"/>
              <w:left w:val="single" w:color="000000" w:sz="8" w:space="0"/>
              <w:bottom w:val="single" w:color="000000" w:sz="8" w:space="0"/>
              <w:right w:val="single" w:color="000000" w:sz="8" w:space="0"/>
            </w:tcBorders>
            <w:vAlign w:val="center"/>
          </w:tcPr>
          <w:p w14:paraId="013258A2">
            <w:pPr>
              <w:snapToGrid w:val="0"/>
              <w:spacing w:before="60" w:after="60" w:line="312" w:lineRule="auto"/>
              <w:jc w:val="center"/>
              <w:rPr>
                <w:rFonts w:hint="default" w:ascii="仿宋" w:hAnsi="仿宋" w:eastAsia="仿宋" w:cs="仿宋"/>
                <w:color w:val="333333"/>
                <w:kern w:val="0"/>
                <w:sz w:val="21"/>
                <w:szCs w:val="21"/>
                <w:lang w:val="en-US" w:eastAsia="zh-CN" w:bidi="ar"/>
              </w:rPr>
            </w:pPr>
            <w:r>
              <w:rPr>
                <w:rFonts w:hint="eastAsia" w:ascii="仿宋" w:hAnsi="仿宋" w:eastAsia="仿宋" w:cs="仿宋"/>
                <w:color w:val="333333"/>
                <w:kern w:val="0"/>
                <w:sz w:val="22"/>
                <w:szCs w:val="22"/>
                <w:lang w:val="en-US" w:eastAsia="zh-CN" w:bidi="ar"/>
              </w:rPr>
              <w:t>5</w:t>
            </w:r>
          </w:p>
        </w:tc>
        <w:tc>
          <w:tcPr>
            <w:tcW w:w="2959" w:type="dxa"/>
            <w:tcBorders>
              <w:top w:val="single" w:color="000000" w:sz="8" w:space="0"/>
              <w:left w:val="single" w:color="000000" w:sz="8" w:space="0"/>
              <w:bottom w:val="single" w:color="000000" w:sz="8" w:space="0"/>
              <w:right w:val="single" w:color="000000" w:sz="8" w:space="0"/>
            </w:tcBorders>
            <w:vAlign w:val="center"/>
          </w:tcPr>
          <w:p w14:paraId="3CF1AD64">
            <w:pPr>
              <w:keepNext w:val="0"/>
              <w:keepLines w:val="0"/>
              <w:widowControl/>
              <w:suppressLineNumbers w:val="0"/>
              <w:jc w:val="center"/>
              <w:textAlignment w:val="center"/>
              <w:rPr>
                <w:rFonts w:hint="default"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PP-R管</w:t>
            </w:r>
          </w:p>
        </w:tc>
        <w:tc>
          <w:tcPr>
            <w:tcW w:w="649" w:type="dxa"/>
            <w:tcBorders>
              <w:top w:val="single" w:color="000000" w:sz="8" w:space="0"/>
              <w:left w:val="single" w:color="000000" w:sz="8" w:space="0"/>
              <w:bottom w:val="single" w:color="000000" w:sz="8" w:space="0"/>
              <w:right w:val="single" w:color="000000" w:sz="8" w:space="0"/>
            </w:tcBorders>
            <w:vAlign w:val="center"/>
          </w:tcPr>
          <w:p w14:paraId="1F5246E7">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m</w:t>
            </w:r>
          </w:p>
        </w:tc>
        <w:tc>
          <w:tcPr>
            <w:tcW w:w="4218" w:type="dxa"/>
            <w:tcBorders>
              <w:top w:val="single" w:color="000000" w:sz="8" w:space="0"/>
              <w:left w:val="single" w:color="000000" w:sz="8" w:space="0"/>
              <w:bottom w:val="single" w:color="000000" w:sz="8" w:space="0"/>
              <w:right w:val="single" w:color="000000" w:sz="8" w:space="0"/>
            </w:tcBorders>
            <w:vAlign w:val="center"/>
          </w:tcPr>
          <w:p w14:paraId="4F6E13A4">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相当于伟星、中财、联塑等中档及以上品牌</w:t>
            </w:r>
          </w:p>
        </w:tc>
        <w:tc>
          <w:tcPr>
            <w:tcW w:w="954" w:type="dxa"/>
            <w:tcBorders>
              <w:top w:val="single" w:color="000000" w:sz="8" w:space="0"/>
              <w:left w:val="single" w:color="000000" w:sz="8" w:space="0"/>
              <w:bottom w:val="single" w:color="000000" w:sz="8" w:space="0"/>
              <w:right w:val="single" w:color="000000" w:sz="8" w:space="0"/>
            </w:tcBorders>
            <w:vAlign w:val="center"/>
          </w:tcPr>
          <w:p w14:paraId="3A08D63E">
            <w:pPr>
              <w:snapToGrid w:val="0"/>
              <w:spacing w:before="60" w:after="60" w:line="312" w:lineRule="auto"/>
              <w:jc w:val="center"/>
              <w:rPr>
                <w:rFonts w:hint="eastAsia" w:ascii="仿宋" w:hAnsi="仿宋" w:eastAsia="仿宋" w:cs="仿宋"/>
                <w:color w:val="333333"/>
                <w:sz w:val="21"/>
                <w:szCs w:val="21"/>
              </w:rPr>
            </w:pPr>
          </w:p>
        </w:tc>
      </w:tr>
      <w:tr w14:paraId="2DCD3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651" w:type="dxa"/>
            <w:tcBorders>
              <w:top w:val="single" w:color="000000" w:sz="8" w:space="0"/>
              <w:left w:val="single" w:color="000000" w:sz="8" w:space="0"/>
              <w:bottom w:val="single" w:color="000000" w:sz="8" w:space="0"/>
              <w:right w:val="single" w:color="000000" w:sz="8" w:space="0"/>
            </w:tcBorders>
            <w:vAlign w:val="center"/>
          </w:tcPr>
          <w:p w14:paraId="1BC88CC7">
            <w:pPr>
              <w:snapToGrid w:val="0"/>
              <w:spacing w:before="60" w:after="60" w:line="312" w:lineRule="auto"/>
              <w:jc w:val="center"/>
              <w:rPr>
                <w:rFonts w:hint="default" w:ascii="仿宋" w:hAnsi="仿宋" w:eastAsia="仿宋" w:cs="仿宋"/>
                <w:color w:val="333333"/>
                <w:kern w:val="0"/>
                <w:sz w:val="21"/>
                <w:szCs w:val="21"/>
                <w:lang w:val="en-US" w:eastAsia="zh-CN" w:bidi="ar"/>
              </w:rPr>
            </w:pPr>
            <w:r>
              <w:rPr>
                <w:rFonts w:hint="eastAsia" w:ascii="仿宋" w:hAnsi="仿宋" w:eastAsia="仿宋" w:cs="仿宋"/>
                <w:color w:val="333333"/>
                <w:kern w:val="0"/>
                <w:sz w:val="22"/>
                <w:szCs w:val="22"/>
                <w:lang w:val="en-US" w:eastAsia="zh-CN" w:bidi="ar"/>
              </w:rPr>
              <w:t>6</w:t>
            </w:r>
          </w:p>
        </w:tc>
        <w:tc>
          <w:tcPr>
            <w:tcW w:w="2959" w:type="dxa"/>
            <w:tcBorders>
              <w:top w:val="single" w:color="000000" w:sz="8" w:space="0"/>
              <w:left w:val="single" w:color="000000" w:sz="8" w:space="0"/>
              <w:bottom w:val="single" w:color="000000" w:sz="8" w:space="0"/>
              <w:right w:val="single" w:color="000000" w:sz="8" w:space="0"/>
            </w:tcBorders>
            <w:vAlign w:val="center"/>
          </w:tcPr>
          <w:p w14:paraId="1EBBB2A1">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灯具</w:t>
            </w:r>
          </w:p>
        </w:tc>
        <w:tc>
          <w:tcPr>
            <w:tcW w:w="649" w:type="dxa"/>
            <w:tcBorders>
              <w:top w:val="single" w:color="000000" w:sz="8" w:space="0"/>
              <w:left w:val="single" w:color="000000" w:sz="8" w:space="0"/>
              <w:bottom w:val="single" w:color="000000" w:sz="8" w:space="0"/>
              <w:right w:val="single" w:color="000000" w:sz="8" w:space="0"/>
            </w:tcBorders>
            <w:vAlign w:val="center"/>
          </w:tcPr>
          <w:p w14:paraId="4683B6CB">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套</w:t>
            </w:r>
          </w:p>
        </w:tc>
        <w:tc>
          <w:tcPr>
            <w:tcW w:w="4218" w:type="dxa"/>
            <w:tcBorders>
              <w:top w:val="single" w:color="000000" w:sz="8" w:space="0"/>
              <w:left w:val="single" w:color="000000" w:sz="8" w:space="0"/>
              <w:bottom w:val="single" w:color="000000" w:sz="8" w:space="0"/>
              <w:right w:val="single" w:color="000000" w:sz="8" w:space="0"/>
            </w:tcBorders>
            <w:vAlign w:val="center"/>
          </w:tcPr>
          <w:p w14:paraId="556D97B6">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相当于雷士、欧普、三雄极光等中档及以上品牌</w:t>
            </w:r>
          </w:p>
        </w:tc>
        <w:tc>
          <w:tcPr>
            <w:tcW w:w="954" w:type="dxa"/>
            <w:tcBorders>
              <w:top w:val="single" w:color="000000" w:sz="8" w:space="0"/>
              <w:left w:val="single" w:color="000000" w:sz="8" w:space="0"/>
              <w:bottom w:val="single" w:color="000000" w:sz="8" w:space="0"/>
              <w:right w:val="single" w:color="000000" w:sz="8" w:space="0"/>
            </w:tcBorders>
            <w:vAlign w:val="center"/>
          </w:tcPr>
          <w:p w14:paraId="34E68373">
            <w:pPr>
              <w:snapToGrid w:val="0"/>
              <w:spacing w:before="60" w:after="60" w:line="312" w:lineRule="auto"/>
              <w:jc w:val="center"/>
              <w:rPr>
                <w:rFonts w:hint="eastAsia" w:ascii="仿宋" w:hAnsi="仿宋" w:eastAsia="仿宋" w:cs="仿宋"/>
                <w:color w:val="333333"/>
                <w:sz w:val="21"/>
                <w:szCs w:val="21"/>
              </w:rPr>
            </w:pPr>
          </w:p>
        </w:tc>
      </w:tr>
      <w:tr w14:paraId="0C6F8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651" w:type="dxa"/>
            <w:vMerge w:val="restart"/>
            <w:tcBorders>
              <w:top w:val="single" w:color="000000" w:sz="8" w:space="0"/>
              <w:left w:val="single" w:color="000000" w:sz="8" w:space="0"/>
              <w:bottom w:val="single" w:color="000000" w:sz="8" w:space="0"/>
              <w:right w:val="single" w:color="000000" w:sz="8" w:space="0"/>
            </w:tcBorders>
            <w:vAlign w:val="center"/>
          </w:tcPr>
          <w:p w14:paraId="571E2DD2">
            <w:pPr>
              <w:snapToGrid w:val="0"/>
              <w:spacing w:before="60" w:after="60" w:line="312" w:lineRule="auto"/>
              <w:jc w:val="center"/>
              <w:rPr>
                <w:rFonts w:hint="default" w:ascii="仿宋" w:hAnsi="仿宋" w:eastAsia="仿宋" w:cs="仿宋"/>
                <w:color w:val="333333"/>
                <w:kern w:val="0"/>
                <w:sz w:val="21"/>
                <w:szCs w:val="21"/>
                <w:lang w:val="en-US" w:eastAsia="zh-CN" w:bidi="ar"/>
              </w:rPr>
            </w:pPr>
            <w:r>
              <w:rPr>
                <w:rFonts w:hint="eastAsia" w:ascii="仿宋" w:hAnsi="仿宋" w:eastAsia="仿宋" w:cs="仿宋"/>
                <w:color w:val="333333"/>
                <w:kern w:val="0"/>
                <w:sz w:val="22"/>
                <w:szCs w:val="22"/>
                <w:lang w:val="en-US" w:eastAsia="zh-CN" w:bidi="ar"/>
              </w:rPr>
              <w:t>7</w:t>
            </w:r>
          </w:p>
        </w:tc>
        <w:tc>
          <w:tcPr>
            <w:tcW w:w="2959" w:type="dxa"/>
            <w:vMerge w:val="restart"/>
            <w:tcBorders>
              <w:top w:val="single" w:color="000000" w:sz="8" w:space="0"/>
              <w:left w:val="single" w:color="000000" w:sz="8" w:space="0"/>
              <w:bottom w:val="single" w:color="000000" w:sz="8" w:space="0"/>
              <w:right w:val="single" w:color="000000" w:sz="8" w:space="0"/>
            </w:tcBorders>
            <w:vAlign w:val="center"/>
          </w:tcPr>
          <w:p w14:paraId="2867EC90">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配电柜、配电箱</w:t>
            </w:r>
          </w:p>
        </w:tc>
        <w:tc>
          <w:tcPr>
            <w:tcW w:w="649" w:type="dxa"/>
            <w:vMerge w:val="restart"/>
            <w:tcBorders>
              <w:top w:val="single" w:color="000000" w:sz="8" w:space="0"/>
              <w:left w:val="single" w:color="000000" w:sz="8" w:space="0"/>
              <w:bottom w:val="single" w:color="000000" w:sz="8" w:space="0"/>
              <w:right w:val="single" w:color="000000" w:sz="8" w:space="0"/>
            </w:tcBorders>
            <w:vAlign w:val="center"/>
          </w:tcPr>
          <w:p w14:paraId="0BF88881">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套</w:t>
            </w:r>
          </w:p>
        </w:tc>
        <w:tc>
          <w:tcPr>
            <w:tcW w:w="4218" w:type="dxa"/>
            <w:tcBorders>
              <w:top w:val="single" w:color="000000" w:sz="8" w:space="0"/>
              <w:left w:val="single" w:color="000000" w:sz="8" w:space="0"/>
              <w:bottom w:val="single" w:color="000000" w:sz="8" w:space="0"/>
              <w:right w:val="single" w:color="000000" w:sz="8" w:space="0"/>
            </w:tcBorders>
            <w:vAlign w:val="center"/>
          </w:tcPr>
          <w:p w14:paraId="2B30CE89">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相当于：上海良信开关：</w:t>
            </w:r>
          </w:p>
          <w:p w14:paraId="2FCF8E80">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塑壳断路器NDM2;</w:t>
            </w:r>
          </w:p>
          <w:p w14:paraId="5260B37E">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框架断路器NDW1A(KY控制器);</w:t>
            </w:r>
          </w:p>
          <w:p w14:paraId="3EF3CE00">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微断：NDB1；</w:t>
            </w:r>
          </w:p>
          <w:p w14:paraId="2C377477">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接触器：NDC1;</w:t>
            </w:r>
          </w:p>
          <w:p w14:paraId="496C590D">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 xml:space="preserve">热继电器：NDR2系列; </w:t>
            </w:r>
          </w:p>
          <w:p w14:paraId="6A7CECBF">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双电源：NDQ1A系列;</w:t>
            </w:r>
          </w:p>
          <w:p w14:paraId="710108E2">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浪涌保护器：NDU1</w:t>
            </w:r>
          </w:p>
        </w:tc>
        <w:tc>
          <w:tcPr>
            <w:tcW w:w="954" w:type="dxa"/>
            <w:vMerge w:val="restart"/>
            <w:tcBorders>
              <w:top w:val="single" w:color="000000" w:sz="8" w:space="0"/>
              <w:left w:val="single" w:color="000000" w:sz="8" w:space="0"/>
              <w:bottom w:val="single" w:color="000000" w:sz="8" w:space="0"/>
              <w:right w:val="single" w:color="000000" w:sz="8" w:space="0"/>
            </w:tcBorders>
            <w:vAlign w:val="center"/>
          </w:tcPr>
          <w:p w14:paraId="528881F1">
            <w:pPr>
              <w:snapToGrid w:val="0"/>
              <w:spacing w:before="60" w:after="60" w:line="312" w:lineRule="auto"/>
              <w:jc w:val="center"/>
              <w:rPr>
                <w:rFonts w:hint="eastAsia" w:ascii="仿宋" w:hAnsi="仿宋" w:eastAsia="仿宋" w:cs="仿宋"/>
                <w:color w:val="333333"/>
                <w:sz w:val="21"/>
                <w:szCs w:val="21"/>
              </w:rPr>
            </w:pPr>
          </w:p>
        </w:tc>
      </w:tr>
      <w:tr w14:paraId="4D483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651" w:type="dxa"/>
            <w:vMerge w:val="continue"/>
            <w:tcBorders>
              <w:top w:val="single" w:color="000000" w:sz="8" w:space="0"/>
              <w:left w:val="single" w:color="000000" w:sz="8" w:space="0"/>
              <w:right w:val="single" w:color="000000" w:sz="8" w:space="0"/>
            </w:tcBorders>
            <w:vAlign w:val="center"/>
          </w:tcPr>
          <w:p w14:paraId="303064CA">
            <w:pPr>
              <w:snapToGrid w:val="0"/>
              <w:spacing w:before="60" w:after="60" w:line="312" w:lineRule="auto"/>
              <w:jc w:val="center"/>
              <w:rPr>
                <w:rFonts w:hint="default" w:ascii="仿宋" w:hAnsi="仿宋" w:eastAsia="仿宋" w:cs="仿宋"/>
                <w:color w:val="333333"/>
                <w:kern w:val="0"/>
                <w:sz w:val="21"/>
                <w:szCs w:val="21"/>
                <w:lang w:val="en-US" w:eastAsia="zh-CN" w:bidi="ar"/>
              </w:rPr>
            </w:pPr>
          </w:p>
        </w:tc>
        <w:tc>
          <w:tcPr>
            <w:tcW w:w="2959" w:type="dxa"/>
            <w:vMerge w:val="continue"/>
            <w:tcBorders>
              <w:top w:val="single" w:color="000000" w:sz="8" w:space="0"/>
              <w:left w:val="single" w:color="000000" w:sz="8" w:space="0"/>
              <w:right w:val="single" w:color="000000" w:sz="8" w:space="0"/>
            </w:tcBorders>
            <w:vAlign w:val="center"/>
          </w:tcPr>
          <w:p w14:paraId="08A86733">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p>
        </w:tc>
        <w:tc>
          <w:tcPr>
            <w:tcW w:w="649" w:type="dxa"/>
            <w:vMerge w:val="continue"/>
            <w:tcBorders>
              <w:top w:val="single" w:color="000000" w:sz="8" w:space="0"/>
              <w:left w:val="single" w:color="000000" w:sz="8" w:space="0"/>
              <w:right w:val="single" w:color="000000" w:sz="8" w:space="0"/>
            </w:tcBorders>
            <w:vAlign w:val="center"/>
          </w:tcPr>
          <w:p w14:paraId="0D9CFCCC">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p>
        </w:tc>
        <w:tc>
          <w:tcPr>
            <w:tcW w:w="4218" w:type="dxa"/>
            <w:tcBorders>
              <w:top w:val="single" w:color="000000" w:sz="8" w:space="0"/>
              <w:left w:val="single" w:color="000000" w:sz="8" w:space="0"/>
              <w:bottom w:val="single" w:color="000000" w:sz="8" w:space="0"/>
              <w:right w:val="single" w:color="000000" w:sz="8" w:space="0"/>
            </w:tcBorders>
            <w:vAlign w:val="center"/>
          </w:tcPr>
          <w:p w14:paraId="7420A9C0">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相当于：常熟开关：</w:t>
            </w:r>
          </w:p>
          <w:p w14:paraId="7E03638B">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塑壳断路器CM5;</w:t>
            </w:r>
          </w:p>
          <w:p w14:paraId="5F8B0BFC">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框架断路器CW6(TT控制器);</w:t>
            </w:r>
          </w:p>
          <w:p w14:paraId="2C6B69F8">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微断：CH3；</w:t>
            </w:r>
          </w:p>
          <w:p w14:paraId="048AB84E">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接触器：CK3 ;</w:t>
            </w:r>
          </w:p>
          <w:p w14:paraId="3E76C318">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热继电器：CJR3系列;</w:t>
            </w:r>
          </w:p>
          <w:p w14:paraId="67D54A14">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双电源：CAP3系列;</w:t>
            </w:r>
          </w:p>
          <w:p w14:paraId="03481C45">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浪涌保护器：CU3</w:t>
            </w:r>
          </w:p>
        </w:tc>
        <w:tc>
          <w:tcPr>
            <w:tcW w:w="954" w:type="dxa"/>
            <w:vMerge w:val="continue"/>
            <w:tcBorders>
              <w:top w:val="single" w:color="000000" w:sz="8" w:space="0"/>
              <w:left w:val="single" w:color="000000" w:sz="8" w:space="0"/>
              <w:right w:val="single" w:color="000000" w:sz="8" w:space="0"/>
            </w:tcBorders>
            <w:vAlign w:val="center"/>
          </w:tcPr>
          <w:p w14:paraId="5FEE3EB0">
            <w:pPr>
              <w:snapToGrid w:val="0"/>
              <w:spacing w:before="60" w:after="60" w:line="312" w:lineRule="auto"/>
              <w:jc w:val="center"/>
              <w:rPr>
                <w:rFonts w:hint="eastAsia" w:ascii="仿宋" w:hAnsi="仿宋" w:eastAsia="仿宋" w:cs="仿宋"/>
                <w:color w:val="333333"/>
                <w:sz w:val="21"/>
                <w:szCs w:val="21"/>
              </w:rPr>
            </w:pPr>
          </w:p>
        </w:tc>
      </w:tr>
      <w:tr w14:paraId="1F527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48" w:hRule="atLeast"/>
        </w:trPr>
        <w:tc>
          <w:tcPr>
            <w:tcW w:w="651" w:type="dxa"/>
            <w:vMerge w:val="continue"/>
            <w:tcBorders>
              <w:left w:val="single" w:color="000000" w:sz="8" w:space="0"/>
              <w:right w:val="single" w:color="000000" w:sz="8" w:space="0"/>
            </w:tcBorders>
            <w:vAlign w:val="center"/>
          </w:tcPr>
          <w:p w14:paraId="1DA76E48">
            <w:pPr>
              <w:snapToGrid w:val="0"/>
              <w:spacing w:before="60" w:after="60" w:line="312" w:lineRule="auto"/>
              <w:jc w:val="center"/>
              <w:rPr>
                <w:rFonts w:hint="eastAsia" w:ascii="仿宋" w:hAnsi="仿宋" w:eastAsia="仿宋" w:cs="仿宋"/>
                <w:color w:val="333333"/>
                <w:kern w:val="0"/>
                <w:sz w:val="21"/>
                <w:szCs w:val="21"/>
                <w:lang w:val="en-US" w:eastAsia="zh-CN" w:bidi="ar"/>
              </w:rPr>
            </w:pPr>
          </w:p>
        </w:tc>
        <w:tc>
          <w:tcPr>
            <w:tcW w:w="2959" w:type="dxa"/>
            <w:vMerge w:val="continue"/>
            <w:tcBorders>
              <w:left w:val="single" w:color="000000" w:sz="8" w:space="0"/>
              <w:right w:val="single" w:color="000000" w:sz="8" w:space="0"/>
            </w:tcBorders>
            <w:vAlign w:val="center"/>
          </w:tcPr>
          <w:p w14:paraId="2D2F9C09">
            <w:pPr>
              <w:snapToGrid w:val="0"/>
              <w:spacing w:before="60" w:after="60" w:line="312" w:lineRule="auto"/>
              <w:jc w:val="center"/>
              <w:rPr>
                <w:rFonts w:hint="eastAsia" w:ascii="仿宋" w:hAnsi="仿宋" w:eastAsia="仿宋" w:cs="仿宋"/>
                <w:i w:val="0"/>
                <w:color w:val="000000"/>
                <w:kern w:val="0"/>
                <w:sz w:val="21"/>
                <w:szCs w:val="21"/>
                <w:highlight w:val="none"/>
                <w:u w:val="none"/>
                <w:lang w:val="en-US" w:eastAsia="zh-CN" w:bidi="ar"/>
              </w:rPr>
            </w:pPr>
          </w:p>
        </w:tc>
        <w:tc>
          <w:tcPr>
            <w:tcW w:w="649" w:type="dxa"/>
            <w:vMerge w:val="continue"/>
            <w:tcBorders>
              <w:left w:val="single" w:color="000000" w:sz="8" w:space="0"/>
              <w:right w:val="single" w:color="000000" w:sz="8" w:space="0"/>
            </w:tcBorders>
            <w:vAlign w:val="center"/>
          </w:tcPr>
          <w:p w14:paraId="60EE9EF0">
            <w:pPr>
              <w:snapToGrid w:val="0"/>
              <w:spacing w:before="60" w:after="60" w:line="312" w:lineRule="auto"/>
              <w:jc w:val="center"/>
              <w:rPr>
                <w:rFonts w:hint="eastAsia" w:ascii="仿宋" w:hAnsi="仿宋" w:eastAsia="仿宋" w:cs="仿宋"/>
                <w:color w:val="333333"/>
                <w:sz w:val="21"/>
                <w:szCs w:val="21"/>
                <w:highlight w:val="none"/>
                <w:lang w:eastAsia="zh-CN"/>
              </w:rPr>
            </w:pPr>
          </w:p>
        </w:tc>
        <w:tc>
          <w:tcPr>
            <w:tcW w:w="4218" w:type="dxa"/>
            <w:tcBorders>
              <w:top w:val="single" w:color="000000" w:sz="8" w:space="0"/>
              <w:left w:val="single" w:color="000000" w:sz="8" w:space="0"/>
              <w:bottom w:val="single" w:color="000000" w:sz="8" w:space="0"/>
              <w:right w:val="single" w:color="000000" w:sz="8" w:space="0"/>
            </w:tcBorders>
            <w:vAlign w:val="center"/>
          </w:tcPr>
          <w:p w14:paraId="7501B6A4">
            <w:pPr>
              <w:keepNext w:val="0"/>
              <w:keepLines w:val="0"/>
              <w:widowControl/>
              <w:suppressLineNumbers w:val="0"/>
              <w:jc w:val="center"/>
              <w:textAlignment w:val="center"/>
              <w:rPr>
                <w:rFonts w:hint="eastAsia" w:ascii="仿宋" w:hAnsi="仿宋" w:eastAsia="仿宋" w:cs="仿宋"/>
                <w:i w:val="0"/>
                <w:color w:val="000000"/>
                <w:sz w:val="22"/>
                <w:szCs w:val="22"/>
                <w:highlight w:val="none"/>
                <w:u w:val="none"/>
                <w:lang w:eastAsia="zh-CN"/>
              </w:rPr>
            </w:pPr>
            <w:r>
              <w:rPr>
                <w:rFonts w:hint="eastAsia" w:ascii="仿宋" w:hAnsi="仿宋" w:eastAsia="仿宋" w:cs="仿宋"/>
                <w:color w:val="333333"/>
                <w:sz w:val="22"/>
                <w:szCs w:val="22"/>
                <w:highlight w:val="none"/>
              </w:rPr>
              <w:t>相当于</w:t>
            </w:r>
            <w:r>
              <w:rPr>
                <w:rFonts w:hint="eastAsia" w:ascii="仿宋" w:hAnsi="仿宋" w:eastAsia="仿宋" w:cs="仿宋"/>
                <w:color w:val="333333"/>
                <w:sz w:val="22"/>
                <w:szCs w:val="22"/>
                <w:highlight w:val="none"/>
                <w:lang w:eastAsia="zh-CN"/>
              </w:rPr>
              <w:t>：</w:t>
            </w:r>
            <w:r>
              <w:rPr>
                <w:rFonts w:hint="eastAsia" w:ascii="仿宋" w:hAnsi="仿宋" w:eastAsia="仿宋" w:cs="仿宋"/>
                <w:i w:val="0"/>
                <w:color w:val="000000"/>
                <w:sz w:val="22"/>
                <w:szCs w:val="22"/>
                <w:highlight w:val="none"/>
                <w:u w:val="none"/>
                <w:lang w:eastAsia="zh-CN"/>
              </w:rPr>
              <w:t>杭州之江(杭申)：</w:t>
            </w:r>
          </w:p>
          <w:p w14:paraId="222FC86D">
            <w:pPr>
              <w:keepNext w:val="0"/>
              <w:keepLines w:val="0"/>
              <w:widowControl/>
              <w:suppressLineNumbers w:val="0"/>
              <w:jc w:val="center"/>
              <w:textAlignment w:val="center"/>
              <w:rPr>
                <w:rFonts w:hint="eastAsia" w:ascii="仿宋" w:hAnsi="仿宋" w:eastAsia="仿宋" w:cs="仿宋"/>
                <w:i w:val="0"/>
                <w:color w:val="000000"/>
                <w:sz w:val="22"/>
                <w:szCs w:val="22"/>
                <w:highlight w:val="none"/>
                <w:u w:val="none"/>
                <w:lang w:eastAsia="zh-CN"/>
              </w:rPr>
            </w:pPr>
            <w:r>
              <w:rPr>
                <w:rFonts w:hint="eastAsia" w:ascii="仿宋" w:hAnsi="仿宋" w:eastAsia="仿宋" w:cs="仿宋"/>
                <w:i w:val="0"/>
                <w:color w:val="000000"/>
                <w:sz w:val="22"/>
                <w:szCs w:val="22"/>
                <w:highlight w:val="none"/>
                <w:u w:val="none"/>
                <w:lang w:eastAsia="zh-CN"/>
              </w:rPr>
              <w:t>塑壳断路器HSM6</w:t>
            </w:r>
          </w:p>
          <w:p w14:paraId="53BA38F2">
            <w:pPr>
              <w:keepNext w:val="0"/>
              <w:keepLines w:val="0"/>
              <w:widowControl/>
              <w:suppressLineNumbers w:val="0"/>
              <w:jc w:val="center"/>
              <w:textAlignment w:val="center"/>
              <w:rPr>
                <w:rFonts w:hint="eastAsia" w:ascii="仿宋" w:hAnsi="仿宋" w:eastAsia="仿宋" w:cs="仿宋"/>
                <w:i w:val="0"/>
                <w:color w:val="000000"/>
                <w:sz w:val="22"/>
                <w:szCs w:val="22"/>
                <w:highlight w:val="none"/>
                <w:u w:val="none"/>
                <w:lang w:eastAsia="zh-CN"/>
              </w:rPr>
            </w:pPr>
            <w:r>
              <w:rPr>
                <w:rFonts w:hint="eastAsia" w:ascii="仿宋" w:hAnsi="仿宋" w:eastAsia="仿宋" w:cs="仿宋"/>
                <w:i w:val="0"/>
                <w:color w:val="000000"/>
                <w:sz w:val="22"/>
                <w:szCs w:val="22"/>
                <w:highlight w:val="none"/>
                <w:u w:val="none"/>
                <w:lang w:eastAsia="zh-CN"/>
              </w:rPr>
              <w:t>框架断路器HSW6(m66控制器);</w:t>
            </w:r>
          </w:p>
          <w:p w14:paraId="14A896A5">
            <w:pPr>
              <w:keepNext w:val="0"/>
              <w:keepLines w:val="0"/>
              <w:widowControl/>
              <w:suppressLineNumbers w:val="0"/>
              <w:jc w:val="center"/>
              <w:textAlignment w:val="center"/>
              <w:rPr>
                <w:rFonts w:hint="eastAsia" w:ascii="仿宋" w:hAnsi="仿宋" w:eastAsia="仿宋" w:cs="仿宋"/>
                <w:i w:val="0"/>
                <w:color w:val="000000"/>
                <w:sz w:val="22"/>
                <w:szCs w:val="22"/>
                <w:highlight w:val="none"/>
                <w:u w:val="none"/>
                <w:lang w:eastAsia="zh-CN"/>
              </w:rPr>
            </w:pPr>
            <w:r>
              <w:rPr>
                <w:rFonts w:hint="eastAsia" w:ascii="仿宋" w:hAnsi="仿宋" w:eastAsia="仿宋" w:cs="仿宋"/>
                <w:i w:val="0"/>
                <w:color w:val="000000"/>
                <w:sz w:val="22"/>
                <w:szCs w:val="22"/>
                <w:highlight w:val="none"/>
                <w:u w:val="none"/>
                <w:lang w:eastAsia="zh-CN"/>
              </w:rPr>
              <w:t>微断：HSB2</w:t>
            </w:r>
          </w:p>
          <w:p w14:paraId="68B34911">
            <w:pPr>
              <w:keepNext w:val="0"/>
              <w:keepLines w:val="0"/>
              <w:widowControl/>
              <w:suppressLineNumbers w:val="0"/>
              <w:jc w:val="center"/>
              <w:textAlignment w:val="center"/>
              <w:rPr>
                <w:rFonts w:hint="eastAsia" w:ascii="仿宋" w:hAnsi="仿宋" w:eastAsia="仿宋" w:cs="仿宋"/>
                <w:i w:val="0"/>
                <w:color w:val="000000"/>
                <w:sz w:val="22"/>
                <w:szCs w:val="22"/>
                <w:highlight w:val="none"/>
                <w:u w:val="none"/>
                <w:lang w:eastAsia="zh-CN"/>
              </w:rPr>
            </w:pPr>
            <w:r>
              <w:rPr>
                <w:rFonts w:hint="eastAsia" w:ascii="仿宋" w:hAnsi="仿宋" w:eastAsia="仿宋" w:cs="仿宋"/>
                <w:i w:val="0"/>
                <w:color w:val="000000"/>
                <w:sz w:val="22"/>
                <w:szCs w:val="22"/>
                <w:highlight w:val="none"/>
                <w:u w:val="none"/>
                <w:lang w:eastAsia="zh-CN"/>
              </w:rPr>
              <w:t>接触器：HSC2</w:t>
            </w:r>
          </w:p>
          <w:p w14:paraId="11656C2B">
            <w:pPr>
              <w:keepNext w:val="0"/>
              <w:keepLines w:val="0"/>
              <w:widowControl/>
              <w:suppressLineNumbers w:val="0"/>
              <w:jc w:val="center"/>
              <w:textAlignment w:val="center"/>
              <w:rPr>
                <w:rFonts w:hint="eastAsia" w:ascii="仿宋" w:hAnsi="仿宋" w:eastAsia="仿宋" w:cs="仿宋"/>
                <w:i w:val="0"/>
                <w:color w:val="000000"/>
                <w:sz w:val="22"/>
                <w:szCs w:val="22"/>
                <w:highlight w:val="none"/>
                <w:u w:val="none"/>
                <w:lang w:eastAsia="zh-CN"/>
              </w:rPr>
            </w:pPr>
            <w:r>
              <w:rPr>
                <w:rFonts w:hint="eastAsia" w:ascii="仿宋" w:hAnsi="仿宋" w:eastAsia="仿宋" w:cs="仿宋"/>
                <w:i w:val="0"/>
                <w:color w:val="000000"/>
                <w:sz w:val="22"/>
                <w:szCs w:val="22"/>
                <w:highlight w:val="none"/>
                <w:u w:val="none"/>
                <w:lang w:eastAsia="zh-CN"/>
              </w:rPr>
              <w:t>热继电器：HSJR1系列；</w:t>
            </w:r>
          </w:p>
          <w:p w14:paraId="7C16490B">
            <w:pPr>
              <w:keepNext w:val="0"/>
              <w:keepLines w:val="0"/>
              <w:widowControl/>
              <w:suppressLineNumbers w:val="0"/>
              <w:jc w:val="center"/>
              <w:textAlignment w:val="center"/>
              <w:rPr>
                <w:rFonts w:hint="eastAsia" w:ascii="仿宋" w:hAnsi="仿宋" w:eastAsia="仿宋" w:cs="仿宋"/>
                <w:i w:val="0"/>
                <w:color w:val="000000"/>
                <w:sz w:val="22"/>
                <w:szCs w:val="22"/>
                <w:highlight w:val="none"/>
                <w:u w:val="none"/>
                <w:lang w:eastAsia="zh-CN"/>
              </w:rPr>
            </w:pPr>
            <w:r>
              <w:rPr>
                <w:rFonts w:hint="eastAsia" w:ascii="仿宋" w:hAnsi="仿宋" w:eastAsia="仿宋" w:cs="仿宋"/>
                <w:i w:val="0"/>
                <w:color w:val="000000"/>
                <w:sz w:val="22"/>
                <w:szCs w:val="22"/>
                <w:highlight w:val="none"/>
                <w:u w:val="none"/>
                <w:lang w:eastAsia="zh-CN"/>
              </w:rPr>
              <w:t>双电源：HSQ6系列.</w:t>
            </w:r>
          </w:p>
          <w:p w14:paraId="41BDCA48">
            <w:pPr>
              <w:keepNext w:val="0"/>
              <w:keepLines w:val="0"/>
              <w:widowControl/>
              <w:suppressLineNumbers w:val="0"/>
              <w:jc w:val="center"/>
              <w:textAlignment w:val="center"/>
              <w:rPr>
                <w:rFonts w:hint="eastAsia" w:ascii="仿宋" w:hAnsi="仿宋" w:eastAsia="仿宋" w:cs="仿宋"/>
                <w:i w:val="0"/>
                <w:color w:val="000000"/>
                <w:sz w:val="22"/>
                <w:szCs w:val="22"/>
                <w:highlight w:val="none"/>
                <w:u w:val="none"/>
                <w:lang w:eastAsia="zh-CN"/>
              </w:rPr>
            </w:pPr>
            <w:r>
              <w:rPr>
                <w:rFonts w:hint="eastAsia" w:ascii="仿宋" w:hAnsi="仿宋" w:eastAsia="仿宋" w:cs="仿宋"/>
                <w:i w:val="0"/>
                <w:color w:val="000000"/>
                <w:sz w:val="22"/>
                <w:szCs w:val="22"/>
                <w:highlight w:val="none"/>
                <w:u w:val="none"/>
                <w:lang w:eastAsia="zh-CN"/>
              </w:rPr>
              <w:t>浪涌:HSU8</w:t>
            </w:r>
          </w:p>
          <w:p w14:paraId="5CABEE1B">
            <w:pPr>
              <w:snapToGrid w:val="0"/>
              <w:spacing w:before="60" w:after="60" w:line="312" w:lineRule="auto"/>
              <w:jc w:val="center"/>
              <w:rPr>
                <w:rFonts w:hint="eastAsia" w:ascii="仿宋" w:hAnsi="仿宋" w:eastAsia="仿宋" w:cs="仿宋"/>
                <w:color w:val="333333"/>
                <w:sz w:val="20"/>
                <w:szCs w:val="20"/>
                <w:highlight w:val="none"/>
              </w:rPr>
            </w:pPr>
            <w:r>
              <w:rPr>
                <w:rFonts w:hint="eastAsia" w:ascii="仿宋" w:hAnsi="仿宋" w:eastAsia="仿宋" w:cs="仿宋"/>
                <w:i w:val="0"/>
                <w:iCs w:val="0"/>
                <w:color w:val="000000"/>
                <w:sz w:val="22"/>
                <w:szCs w:val="22"/>
                <w:highlight w:val="none"/>
                <w:u w:val="none"/>
                <w:lang w:val="en-US" w:eastAsia="zh-CN"/>
              </w:rPr>
              <w:t>等</w:t>
            </w:r>
            <w:r>
              <w:rPr>
                <w:rFonts w:hint="eastAsia" w:ascii="仿宋" w:hAnsi="仿宋" w:eastAsia="仿宋" w:cs="仿宋"/>
                <w:color w:val="333333"/>
                <w:sz w:val="22"/>
                <w:szCs w:val="22"/>
                <w:highlight w:val="none"/>
              </w:rPr>
              <w:t>中档及以上品牌</w:t>
            </w:r>
          </w:p>
        </w:tc>
        <w:tc>
          <w:tcPr>
            <w:tcW w:w="954" w:type="dxa"/>
            <w:vMerge w:val="continue"/>
            <w:tcBorders>
              <w:left w:val="single" w:color="000000" w:sz="8" w:space="0"/>
              <w:right w:val="single" w:color="000000" w:sz="8" w:space="0"/>
            </w:tcBorders>
            <w:vAlign w:val="center"/>
          </w:tcPr>
          <w:p w14:paraId="6391373B">
            <w:pPr>
              <w:snapToGrid w:val="0"/>
              <w:spacing w:before="60" w:after="60" w:line="312" w:lineRule="auto"/>
              <w:jc w:val="center"/>
              <w:rPr>
                <w:rFonts w:hint="eastAsia" w:ascii="仿宋" w:hAnsi="仿宋" w:eastAsia="仿宋" w:cs="仿宋"/>
                <w:color w:val="333333"/>
                <w:sz w:val="21"/>
                <w:szCs w:val="21"/>
              </w:rPr>
            </w:pPr>
          </w:p>
        </w:tc>
      </w:tr>
      <w:tr w14:paraId="6C1F6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811" w:hRule="atLeast"/>
        </w:trPr>
        <w:tc>
          <w:tcPr>
            <w:tcW w:w="651" w:type="dxa"/>
            <w:tcBorders>
              <w:left w:val="single" w:color="000000" w:sz="8" w:space="0"/>
              <w:bottom w:val="single" w:color="000000" w:sz="8" w:space="0"/>
              <w:right w:val="single" w:color="000000" w:sz="8" w:space="0"/>
            </w:tcBorders>
            <w:vAlign w:val="center"/>
          </w:tcPr>
          <w:p w14:paraId="006258FC">
            <w:pPr>
              <w:snapToGrid w:val="0"/>
              <w:spacing w:before="60" w:after="60" w:line="312" w:lineRule="auto"/>
              <w:jc w:val="center"/>
              <w:rPr>
                <w:rFonts w:hint="default" w:ascii="仿宋" w:hAnsi="仿宋" w:eastAsia="仿宋" w:cs="仿宋"/>
                <w:color w:val="333333"/>
                <w:kern w:val="0"/>
                <w:sz w:val="21"/>
                <w:szCs w:val="21"/>
                <w:lang w:val="en-US" w:eastAsia="zh-CN" w:bidi="ar"/>
              </w:rPr>
            </w:pPr>
            <w:r>
              <w:rPr>
                <w:rFonts w:hint="eastAsia" w:ascii="仿宋" w:hAnsi="仿宋" w:eastAsia="仿宋" w:cs="仿宋"/>
                <w:color w:val="333333"/>
                <w:kern w:val="0"/>
                <w:sz w:val="22"/>
                <w:szCs w:val="22"/>
                <w:lang w:val="en-US" w:eastAsia="zh-CN" w:bidi="ar"/>
              </w:rPr>
              <w:t>8</w:t>
            </w:r>
          </w:p>
        </w:tc>
        <w:tc>
          <w:tcPr>
            <w:tcW w:w="2959" w:type="dxa"/>
            <w:tcBorders>
              <w:left w:val="single" w:color="000000" w:sz="8" w:space="0"/>
              <w:bottom w:val="single" w:color="000000" w:sz="8" w:space="0"/>
              <w:right w:val="single" w:color="000000" w:sz="8" w:space="0"/>
            </w:tcBorders>
            <w:vAlign w:val="center"/>
          </w:tcPr>
          <w:p w14:paraId="011431EB">
            <w:pPr>
              <w:keepNext w:val="0"/>
              <w:keepLines w:val="0"/>
              <w:widowControl/>
              <w:suppressLineNumbers w:val="0"/>
              <w:jc w:val="center"/>
              <w:textAlignment w:val="center"/>
              <w:rPr>
                <w:rFonts w:hint="eastAsia" w:ascii="仿宋" w:hAnsi="仿宋" w:eastAsia="仿宋" w:cs="仿宋"/>
                <w:sz w:val="22"/>
                <w:szCs w:val="22"/>
                <w:highlight w:val="none"/>
                <w:lang w:val="en-US" w:eastAsia="zh-CN"/>
              </w:rPr>
            </w:pPr>
            <w:r>
              <w:rPr>
                <w:rFonts w:hint="eastAsia" w:ascii="仿宋" w:hAnsi="仿宋" w:eastAsia="仿宋" w:cs="仿宋"/>
                <w:i w:val="0"/>
                <w:color w:val="000000"/>
                <w:sz w:val="22"/>
                <w:szCs w:val="22"/>
                <w:highlight w:val="none"/>
                <w:u w:val="none"/>
                <w:lang w:eastAsia="zh-CN"/>
              </w:rPr>
              <w:t>柜式(无管网)七氟丙烷气体灭火装置</w:t>
            </w:r>
          </w:p>
        </w:tc>
        <w:tc>
          <w:tcPr>
            <w:tcW w:w="649" w:type="dxa"/>
            <w:tcBorders>
              <w:left w:val="single" w:color="000000" w:sz="8" w:space="0"/>
              <w:bottom w:val="single" w:color="000000" w:sz="8" w:space="0"/>
              <w:right w:val="single" w:color="000000" w:sz="8" w:space="0"/>
            </w:tcBorders>
            <w:vAlign w:val="center"/>
          </w:tcPr>
          <w:p w14:paraId="3FC66251">
            <w:pPr>
              <w:snapToGrid w:val="0"/>
              <w:spacing w:before="60" w:after="60" w:line="312" w:lineRule="auto"/>
              <w:jc w:val="center"/>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套</w:t>
            </w:r>
          </w:p>
        </w:tc>
        <w:tc>
          <w:tcPr>
            <w:tcW w:w="4218" w:type="dxa"/>
            <w:tcBorders>
              <w:top w:val="single" w:color="000000" w:sz="8" w:space="0"/>
              <w:left w:val="single" w:color="000000" w:sz="8" w:space="0"/>
              <w:bottom w:val="single" w:color="000000" w:sz="8" w:space="0"/>
              <w:right w:val="single" w:color="000000" w:sz="8" w:space="0"/>
            </w:tcBorders>
            <w:vAlign w:val="center"/>
          </w:tcPr>
          <w:p w14:paraId="5F809A4C">
            <w:pPr>
              <w:snapToGrid w:val="0"/>
              <w:spacing w:before="60" w:after="60" w:line="312" w:lineRule="auto"/>
              <w:jc w:val="center"/>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相当于致远、维肯、海湾等中档及以上品牌</w:t>
            </w:r>
          </w:p>
        </w:tc>
        <w:tc>
          <w:tcPr>
            <w:tcW w:w="954" w:type="dxa"/>
            <w:tcBorders>
              <w:left w:val="single" w:color="000000" w:sz="8" w:space="0"/>
              <w:bottom w:val="single" w:color="000000" w:sz="8" w:space="0"/>
              <w:right w:val="single" w:color="000000" w:sz="8" w:space="0"/>
            </w:tcBorders>
            <w:vAlign w:val="center"/>
          </w:tcPr>
          <w:p w14:paraId="6A72ABFC">
            <w:pPr>
              <w:snapToGrid w:val="0"/>
              <w:spacing w:before="60" w:after="60" w:line="312" w:lineRule="auto"/>
              <w:jc w:val="center"/>
              <w:rPr>
                <w:rFonts w:hint="eastAsia" w:ascii="仿宋" w:hAnsi="仿宋" w:eastAsia="仿宋" w:cs="仿宋"/>
                <w:color w:val="333333"/>
                <w:sz w:val="21"/>
                <w:szCs w:val="21"/>
              </w:rPr>
            </w:pPr>
          </w:p>
        </w:tc>
      </w:tr>
      <w:tr w14:paraId="59D8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651" w:type="dxa"/>
            <w:tcBorders>
              <w:top w:val="single" w:color="000000" w:sz="8" w:space="0"/>
              <w:left w:val="single" w:color="000000" w:sz="8" w:space="0"/>
              <w:bottom w:val="single" w:color="000000" w:sz="8" w:space="0"/>
              <w:right w:val="single" w:color="000000" w:sz="8" w:space="0"/>
            </w:tcBorders>
            <w:vAlign w:val="center"/>
          </w:tcPr>
          <w:p w14:paraId="5812E488">
            <w:pPr>
              <w:snapToGrid w:val="0"/>
              <w:spacing w:before="60" w:after="60" w:line="312" w:lineRule="auto"/>
              <w:jc w:val="center"/>
              <w:rPr>
                <w:rFonts w:hint="default" w:ascii="仿宋" w:hAnsi="仿宋" w:eastAsia="仿宋" w:cs="仿宋"/>
                <w:color w:val="333333"/>
                <w:kern w:val="0"/>
                <w:sz w:val="21"/>
                <w:szCs w:val="21"/>
                <w:lang w:val="en-US" w:eastAsia="zh-CN" w:bidi="ar"/>
              </w:rPr>
            </w:pPr>
            <w:r>
              <w:rPr>
                <w:rFonts w:hint="eastAsia" w:ascii="仿宋" w:hAnsi="仿宋" w:eastAsia="仿宋" w:cs="仿宋"/>
                <w:color w:val="333333"/>
                <w:kern w:val="0"/>
                <w:sz w:val="22"/>
                <w:szCs w:val="22"/>
                <w:lang w:val="en-US" w:eastAsia="zh-CN" w:bidi="ar"/>
              </w:rPr>
              <w:t>9</w:t>
            </w:r>
          </w:p>
        </w:tc>
        <w:tc>
          <w:tcPr>
            <w:tcW w:w="2959" w:type="dxa"/>
            <w:tcBorders>
              <w:top w:val="single" w:color="000000" w:sz="8" w:space="0"/>
              <w:left w:val="single" w:color="000000" w:sz="8" w:space="0"/>
              <w:bottom w:val="single" w:color="000000" w:sz="8" w:space="0"/>
              <w:right w:val="single" w:color="000000" w:sz="8" w:space="0"/>
            </w:tcBorders>
            <w:vAlign w:val="center"/>
          </w:tcPr>
          <w:p w14:paraId="340396CB">
            <w:pPr>
              <w:keepNext w:val="0"/>
              <w:keepLines w:val="0"/>
              <w:widowControl/>
              <w:suppressLineNumbers w:val="0"/>
              <w:jc w:val="center"/>
              <w:textAlignment w:val="center"/>
              <w:rPr>
                <w:rFonts w:hint="default"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火灾自动报警系统</w:t>
            </w:r>
          </w:p>
        </w:tc>
        <w:tc>
          <w:tcPr>
            <w:tcW w:w="649" w:type="dxa"/>
            <w:tcBorders>
              <w:top w:val="single" w:color="000000" w:sz="8" w:space="0"/>
              <w:left w:val="single" w:color="000000" w:sz="8" w:space="0"/>
              <w:bottom w:val="single" w:color="000000" w:sz="8" w:space="0"/>
              <w:right w:val="single" w:color="000000" w:sz="8" w:space="0"/>
            </w:tcBorders>
            <w:vAlign w:val="center"/>
          </w:tcPr>
          <w:p w14:paraId="147F8AA5">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p>
        </w:tc>
        <w:tc>
          <w:tcPr>
            <w:tcW w:w="4218" w:type="dxa"/>
            <w:tcBorders>
              <w:top w:val="single" w:color="000000" w:sz="8" w:space="0"/>
              <w:left w:val="single" w:color="000000" w:sz="8" w:space="0"/>
              <w:bottom w:val="single" w:color="000000" w:sz="8" w:space="0"/>
              <w:right w:val="single" w:color="000000" w:sz="8" w:space="0"/>
            </w:tcBorders>
            <w:vAlign w:val="center"/>
          </w:tcPr>
          <w:p w14:paraId="0EA2B6A9">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sz w:val="22"/>
                <w:szCs w:val="22"/>
                <w:highlight w:val="none"/>
                <w:lang w:val="en-US" w:eastAsia="zh-CN"/>
              </w:rPr>
              <w:t>相当于致远、维肯、海湾等中档及以上品牌</w:t>
            </w:r>
          </w:p>
        </w:tc>
        <w:tc>
          <w:tcPr>
            <w:tcW w:w="954" w:type="dxa"/>
            <w:tcBorders>
              <w:top w:val="single" w:color="000000" w:sz="8" w:space="0"/>
              <w:left w:val="single" w:color="000000" w:sz="8" w:space="0"/>
              <w:bottom w:val="single" w:color="000000" w:sz="8" w:space="0"/>
              <w:right w:val="single" w:color="000000" w:sz="8" w:space="0"/>
            </w:tcBorders>
            <w:vAlign w:val="center"/>
          </w:tcPr>
          <w:p w14:paraId="1752578F">
            <w:pPr>
              <w:snapToGrid w:val="0"/>
              <w:spacing w:before="60" w:after="60" w:line="312" w:lineRule="auto"/>
              <w:jc w:val="center"/>
              <w:rPr>
                <w:rFonts w:hint="eastAsia" w:ascii="仿宋" w:hAnsi="仿宋" w:eastAsia="仿宋" w:cs="仿宋"/>
                <w:color w:val="333333"/>
                <w:sz w:val="21"/>
                <w:szCs w:val="21"/>
              </w:rPr>
            </w:pPr>
          </w:p>
        </w:tc>
      </w:tr>
      <w:tr w14:paraId="59962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651" w:type="dxa"/>
            <w:tcBorders>
              <w:top w:val="single" w:color="000000" w:sz="8" w:space="0"/>
              <w:left w:val="single" w:color="000000" w:sz="8" w:space="0"/>
              <w:bottom w:val="single" w:color="000000" w:sz="8" w:space="0"/>
              <w:right w:val="single" w:color="000000" w:sz="8" w:space="0"/>
            </w:tcBorders>
            <w:vAlign w:val="center"/>
          </w:tcPr>
          <w:p w14:paraId="6FEFDB6E">
            <w:pPr>
              <w:snapToGrid w:val="0"/>
              <w:spacing w:before="60" w:after="60" w:line="312" w:lineRule="auto"/>
              <w:jc w:val="center"/>
              <w:rPr>
                <w:rFonts w:hint="default" w:ascii="仿宋" w:hAnsi="仿宋" w:eastAsia="仿宋" w:cs="仿宋"/>
                <w:color w:val="333333"/>
                <w:kern w:val="0"/>
                <w:sz w:val="21"/>
                <w:szCs w:val="21"/>
                <w:lang w:val="en-US" w:eastAsia="zh-CN" w:bidi="ar"/>
              </w:rPr>
            </w:pPr>
            <w:r>
              <w:rPr>
                <w:rFonts w:hint="eastAsia" w:ascii="仿宋" w:hAnsi="仿宋" w:eastAsia="仿宋" w:cs="仿宋"/>
                <w:color w:val="333333"/>
                <w:kern w:val="0"/>
                <w:sz w:val="22"/>
                <w:szCs w:val="22"/>
                <w:lang w:val="en-US" w:eastAsia="zh-CN" w:bidi="ar"/>
              </w:rPr>
              <w:t>10</w:t>
            </w:r>
          </w:p>
        </w:tc>
        <w:tc>
          <w:tcPr>
            <w:tcW w:w="2959" w:type="dxa"/>
            <w:tcBorders>
              <w:top w:val="single" w:color="000000" w:sz="8" w:space="0"/>
              <w:left w:val="single" w:color="000000" w:sz="8" w:space="0"/>
              <w:bottom w:val="single" w:color="000000" w:sz="8" w:space="0"/>
              <w:right w:val="single" w:color="000000" w:sz="8" w:space="0"/>
            </w:tcBorders>
            <w:vAlign w:val="center"/>
          </w:tcPr>
          <w:p w14:paraId="15CA00E8">
            <w:pPr>
              <w:keepNext w:val="0"/>
              <w:keepLines w:val="0"/>
              <w:widowControl/>
              <w:suppressLineNumbers w:val="0"/>
              <w:jc w:val="center"/>
              <w:textAlignment w:val="center"/>
              <w:rPr>
                <w:rFonts w:hint="default"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可燃气体报警控制器</w:t>
            </w:r>
          </w:p>
        </w:tc>
        <w:tc>
          <w:tcPr>
            <w:tcW w:w="649" w:type="dxa"/>
            <w:tcBorders>
              <w:top w:val="single" w:color="000000" w:sz="8" w:space="0"/>
              <w:left w:val="single" w:color="000000" w:sz="8" w:space="0"/>
              <w:bottom w:val="single" w:color="000000" w:sz="8" w:space="0"/>
              <w:right w:val="single" w:color="000000" w:sz="8" w:space="0"/>
            </w:tcBorders>
            <w:vAlign w:val="center"/>
          </w:tcPr>
          <w:p w14:paraId="54C4E41C">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台</w:t>
            </w:r>
          </w:p>
        </w:tc>
        <w:tc>
          <w:tcPr>
            <w:tcW w:w="4218" w:type="dxa"/>
            <w:tcBorders>
              <w:top w:val="single" w:color="000000" w:sz="8" w:space="0"/>
              <w:left w:val="single" w:color="000000" w:sz="8" w:space="0"/>
              <w:bottom w:val="single" w:color="000000" w:sz="8" w:space="0"/>
              <w:right w:val="single" w:color="000000" w:sz="8" w:space="0"/>
            </w:tcBorders>
            <w:vAlign w:val="center"/>
          </w:tcPr>
          <w:p w14:paraId="16511A03">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sz w:val="22"/>
                <w:szCs w:val="22"/>
                <w:highlight w:val="none"/>
                <w:lang w:val="en-US" w:eastAsia="zh-CN"/>
              </w:rPr>
              <w:t>相当于致远、维肯、海湾等中档及以上品牌</w:t>
            </w:r>
          </w:p>
        </w:tc>
        <w:tc>
          <w:tcPr>
            <w:tcW w:w="954" w:type="dxa"/>
            <w:tcBorders>
              <w:top w:val="single" w:color="000000" w:sz="8" w:space="0"/>
              <w:left w:val="single" w:color="000000" w:sz="8" w:space="0"/>
              <w:bottom w:val="single" w:color="000000" w:sz="8" w:space="0"/>
              <w:right w:val="single" w:color="000000" w:sz="8" w:space="0"/>
            </w:tcBorders>
            <w:vAlign w:val="center"/>
          </w:tcPr>
          <w:p w14:paraId="34C388F2">
            <w:pPr>
              <w:snapToGrid w:val="0"/>
              <w:spacing w:before="60" w:after="60" w:line="312" w:lineRule="auto"/>
              <w:jc w:val="center"/>
              <w:rPr>
                <w:rFonts w:hint="eastAsia" w:ascii="仿宋" w:hAnsi="仿宋" w:eastAsia="仿宋" w:cs="仿宋"/>
                <w:color w:val="333333"/>
                <w:sz w:val="21"/>
                <w:szCs w:val="21"/>
              </w:rPr>
            </w:pPr>
          </w:p>
        </w:tc>
      </w:tr>
      <w:tr w14:paraId="7749C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651" w:type="dxa"/>
            <w:tcBorders>
              <w:top w:val="single" w:color="000000" w:sz="8" w:space="0"/>
              <w:left w:val="single" w:color="000000" w:sz="8" w:space="0"/>
              <w:bottom w:val="single" w:color="000000" w:sz="8" w:space="0"/>
              <w:right w:val="single" w:color="000000" w:sz="8" w:space="0"/>
            </w:tcBorders>
            <w:vAlign w:val="center"/>
          </w:tcPr>
          <w:p w14:paraId="2634C5C1">
            <w:pPr>
              <w:snapToGrid w:val="0"/>
              <w:spacing w:before="60" w:after="60" w:line="312" w:lineRule="auto"/>
              <w:jc w:val="center"/>
              <w:rPr>
                <w:rFonts w:hint="default" w:ascii="仿宋" w:hAnsi="仿宋" w:eastAsia="仿宋" w:cs="仿宋"/>
                <w:color w:val="333333"/>
                <w:kern w:val="0"/>
                <w:sz w:val="21"/>
                <w:szCs w:val="21"/>
                <w:lang w:val="en-US" w:eastAsia="zh-CN" w:bidi="ar"/>
              </w:rPr>
            </w:pPr>
            <w:r>
              <w:rPr>
                <w:rFonts w:hint="eastAsia" w:ascii="仿宋" w:hAnsi="仿宋" w:eastAsia="仿宋" w:cs="仿宋"/>
                <w:color w:val="333333"/>
                <w:kern w:val="0"/>
                <w:sz w:val="22"/>
                <w:szCs w:val="22"/>
                <w:lang w:val="en-US" w:eastAsia="zh-CN" w:bidi="ar"/>
              </w:rPr>
              <w:t>11</w:t>
            </w:r>
          </w:p>
        </w:tc>
        <w:tc>
          <w:tcPr>
            <w:tcW w:w="2959" w:type="dxa"/>
            <w:tcBorders>
              <w:top w:val="single" w:color="000000" w:sz="8" w:space="0"/>
              <w:left w:val="single" w:color="000000" w:sz="8" w:space="0"/>
              <w:bottom w:val="single" w:color="000000" w:sz="8" w:space="0"/>
              <w:right w:val="single" w:color="000000" w:sz="8" w:space="0"/>
            </w:tcBorders>
            <w:vAlign w:val="center"/>
          </w:tcPr>
          <w:p w14:paraId="12118687">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280°防火阀、远控多叶防火排烟口</w:t>
            </w:r>
          </w:p>
        </w:tc>
        <w:tc>
          <w:tcPr>
            <w:tcW w:w="649" w:type="dxa"/>
            <w:tcBorders>
              <w:top w:val="single" w:color="000000" w:sz="8" w:space="0"/>
              <w:left w:val="single" w:color="000000" w:sz="8" w:space="0"/>
              <w:bottom w:val="single" w:color="000000" w:sz="8" w:space="0"/>
              <w:right w:val="single" w:color="000000" w:sz="8" w:space="0"/>
            </w:tcBorders>
            <w:vAlign w:val="center"/>
          </w:tcPr>
          <w:p w14:paraId="0E13EF0E">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台</w:t>
            </w:r>
          </w:p>
        </w:tc>
        <w:tc>
          <w:tcPr>
            <w:tcW w:w="4218" w:type="dxa"/>
            <w:tcBorders>
              <w:top w:val="single" w:color="000000" w:sz="8" w:space="0"/>
              <w:left w:val="single" w:color="000000" w:sz="8" w:space="0"/>
              <w:bottom w:val="single" w:color="000000" w:sz="8" w:space="0"/>
              <w:right w:val="single" w:color="000000" w:sz="8" w:space="0"/>
            </w:tcBorders>
            <w:vAlign w:val="center"/>
          </w:tcPr>
          <w:p w14:paraId="080ABFC2">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相当于金光、瑞冬、澳航等中档及以上品牌</w:t>
            </w:r>
          </w:p>
        </w:tc>
        <w:tc>
          <w:tcPr>
            <w:tcW w:w="954" w:type="dxa"/>
            <w:tcBorders>
              <w:top w:val="single" w:color="000000" w:sz="8" w:space="0"/>
              <w:left w:val="single" w:color="000000" w:sz="8" w:space="0"/>
              <w:bottom w:val="single" w:color="000000" w:sz="8" w:space="0"/>
              <w:right w:val="single" w:color="000000" w:sz="8" w:space="0"/>
            </w:tcBorders>
            <w:vAlign w:val="center"/>
          </w:tcPr>
          <w:p w14:paraId="145DFF93">
            <w:pPr>
              <w:snapToGrid w:val="0"/>
              <w:spacing w:before="60" w:after="60" w:line="312" w:lineRule="auto"/>
              <w:jc w:val="center"/>
              <w:rPr>
                <w:rFonts w:hint="eastAsia" w:ascii="仿宋" w:hAnsi="仿宋" w:eastAsia="仿宋" w:cs="仿宋"/>
                <w:color w:val="333333"/>
                <w:sz w:val="21"/>
                <w:szCs w:val="21"/>
              </w:rPr>
            </w:pPr>
          </w:p>
        </w:tc>
      </w:tr>
      <w:tr w14:paraId="22B07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651" w:type="dxa"/>
            <w:tcBorders>
              <w:top w:val="single" w:color="000000" w:sz="8" w:space="0"/>
              <w:left w:val="single" w:color="000000" w:sz="8" w:space="0"/>
              <w:bottom w:val="single" w:color="000000" w:sz="8" w:space="0"/>
              <w:right w:val="single" w:color="000000" w:sz="8" w:space="0"/>
            </w:tcBorders>
            <w:vAlign w:val="center"/>
          </w:tcPr>
          <w:p w14:paraId="3F9C7102">
            <w:pPr>
              <w:snapToGrid w:val="0"/>
              <w:spacing w:before="60" w:after="60" w:line="312" w:lineRule="auto"/>
              <w:jc w:val="center"/>
              <w:rPr>
                <w:rFonts w:hint="default" w:ascii="仿宋" w:hAnsi="仿宋" w:eastAsia="仿宋" w:cs="仿宋"/>
                <w:color w:val="333333"/>
                <w:kern w:val="0"/>
                <w:sz w:val="21"/>
                <w:szCs w:val="21"/>
                <w:lang w:val="en-US" w:eastAsia="zh-CN" w:bidi="ar"/>
              </w:rPr>
            </w:pPr>
            <w:r>
              <w:rPr>
                <w:rFonts w:hint="eastAsia" w:ascii="仿宋" w:hAnsi="仿宋" w:eastAsia="仿宋" w:cs="仿宋"/>
                <w:color w:val="333333"/>
                <w:kern w:val="0"/>
                <w:sz w:val="22"/>
                <w:szCs w:val="22"/>
                <w:lang w:val="en-US" w:eastAsia="zh-CN" w:bidi="ar"/>
              </w:rPr>
              <w:t>12</w:t>
            </w:r>
          </w:p>
        </w:tc>
        <w:tc>
          <w:tcPr>
            <w:tcW w:w="2959" w:type="dxa"/>
            <w:tcBorders>
              <w:top w:val="single" w:color="000000" w:sz="8" w:space="0"/>
              <w:left w:val="single" w:color="000000" w:sz="8" w:space="0"/>
              <w:bottom w:val="single" w:color="000000" w:sz="8" w:space="0"/>
              <w:right w:val="single" w:color="000000" w:sz="8" w:space="0"/>
            </w:tcBorders>
            <w:vAlign w:val="center"/>
          </w:tcPr>
          <w:p w14:paraId="79314D9C">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阀门</w:t>
            </w:r>
          </w:p>
        </w:tc>
        <w:tc>
          <w:tcPr>
            <w:tcW w:w="649" w:type="dxa"/>
            <w:tcBorders>
              <w:top w:val="single" w:color="000000" w:sz="8" w:space="0"/>
              <w:left w:val="single" w:color="000000" w:sz="8" w:space="0"/>
              <w:bottom w:val="single" w:color="000000" w:sz="8" w:space="0"/>
              <w:right w:val="single" w:color="000000" w:sz="8" w:space="0"/>
            </w:tcBorders>
            <w:vAlign w:val="center"/>
          </w:tcPr>
          <w:p w14:paraId="5615C563">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个</w:t>
            </w:r>
          </w:p>
        </w:tc>
        <w:tc>
          <w:tcPr>
            <w:tcW w:w="4218" w:type="dxa"/>
            <w:tcBorders>
              <w:top w:val="single" w:color="000000" w:sz="8" w:space="0"/>
              <w:left w:val="single" w:color="000000" w:sz="8" w:space="0"/>
              <w:bottom w:val="single" w:color="000000" w:sz="8" w:space="0"/>
              <w:right w:val="single" w:color="000000" w:sz="8" w:space="0"/>
            </w:tcBorders>
            <w:vAlign w:val="center"/>
          </w:tcPr>
          <w:p w14:paraId="59A653C8">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相当于远大、同力、远洋等中档及以上品牌</w:t>
            </w:r>
          </w:p>
        </w:tc>
        <w:tc>
          <w:tcPr>
            <w:tcW w:w="954" w:type="dxa"/>
            <w:tcBorders>
              <w:top w:val="single" w:color="000000" w:sz="8" w:space="0"/>
              <w:left w:val="single" w:color="000000" w:sz="8" w:space="0"/>
              <w:bottom w:val="single" w:color="000000" w:sz="8" w:space="0"/>
              <w:right w:val="single" w:color="000000" w:sz="8" w:space="0"/>
            </w:tcBorders>
            <w:vAlign w:val="center"/>
          </w:tcPr>
          <w:p w14:paraId="75F64F32">
            <w:pPr>
              <w:snapToGrid w:val="0"/>
              <w:spacing w:before="60" w:after="60" w:line="312" w:lineRule="auto"/>
              <w:jc w:val="center"/>
              <w:rPr>
                <w:rFonts w:hint="eastAsia" w:ascii="仿宋" w:hAnsi="仿宋" w:eastAsia="仿宋" w:cs="仿宋"/>
                <w:color w:val="333333"/>
                <w:sz w:val="21"/>
                <w:szCs w:val="21"/>
              </w:rPr>
            </w:pPr>
          </w:p>
        </w:tc>
      </w:tr>
      <w:tr w14:paraId="71032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651" w:type="dxa"/>
            <w:tcBorders>
              <w:top w:val="single" w:color="000000" w:sz="8" w:space="0"/>
              <w:left w:val="single" w:color="000000" w:sz="8" w:space="0"/>
              <w:bottom w:val="single" w:color="000000" w:sz="8" w:space="0"/>
              <w:right w:val="single" w:color="000000" w:sz="8" w:space="0"/>
            </w:tcBorders>
            <w:vAlign w:val="center"/>
          </w:tcPr>
          <w:p w14:paraId="62932F5A">
            <w:pPr>
              <w:snapToGrid w:val="0"/>
              <w:spacing w:before="60" w:after="60" w:line="312" w:lineRule="auto"/>
              <w:jc w:val="center"/>
              <w:rPr>
                <w:rFonts w:hint="default" w:ascii="仿宋" w:hAnsi="仿宋" w:eastAsia="仿宋" w:cs="仿宋"/>
                <w:color w:val="333333"/>
                <w:kern w:val="0"/>
                <w:sz w:val="22"/>
                <w:szCs w:val="22"/>
                <w:lang w:val="en-US" w:eastAsia="zh-CN" w:bidi="ar"/>
              </w:rPr>
            </w:pPr>
            <w:r>
              <w:rPr>
                <w:rFonts w:hint="eastAsia" w:ascii="仿宋" w:hAnsi="仿宋" w:eastAsia="仿宋" w:cs="仿宋"/>
                <w:color w:val="333333"/>
                <w:kern w:val="0"/>
                <w:sz w:val="22"/>
                <w:szCs w:val="22"/>
                <w:lang w:val="en-US" w:eastAsia="zh-CN" w:bidi="ar"/>
              </w:rPr>
              <w:t>13</w:t>
            </w:r>
          </w:p>
        </w:tc>
        <w:tc>
          <w:tcPr>
            <w:tcW w:w="2959" w:type="dxa"/>
            <w:tcBorders>
              <w:top w:val="single" w:color="000000" w:sz="8" w:space="0"/>
              <w:left w:val="single" w:color="000000" w:sz="8" w:space="0"/>
              <w:bottom w:val="single" w:color="000000" w:sz="8" w:space="0"/>
              <w:right w:val="single" w:color="000000" w:sz="8" w:space="0"/>
            </w:tcBorders>
            <w:vAlign w:val="center"/>
          </w:tcPr>
          <w:p w14:paraId="310F8CDC">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电伴热带</w:t>
            </w:r>
          </w:p>
        </w:tc>
        <w:tc>
          <w:tcPr>
            <w:tcW w:w="649" w:type="dxa"/>
            <w:tcBorders>
              <w:top w:val="single" w:color="000000" w:sz="8" w:space="0"/>
              <w:left w:val="single" w:color="000000" w:sz="8" w:space="0"/>
              <w:bottom w:val="single" w:color="000000" w:sz="8" w:space="0"/>
              <w:right w:val="single" w:color="000000" w:sz="8" w:space="0"/>
            </w:tcBorders>
            <w:vAlign w:val="center"/>
          </w:tcPr>
          <w:p w14:paraId="2D474E82">
            <w:pPr>
              <w:keepNext w:val="0"/>
              <w:keepLines w:val="0"/>
              <w:widowControl/>
              <w:suppressLineNumbers w:val="0"/>
              <w:jc w:val="center"/>
              <w:textAlignment w:val="center"/>
              <w:rPr>
                <w:rFonts w:hint="default"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m</w:t>
            </w:r>
          </w:p>
        </w:tc>
        <w:tc>
          <w:tcPr>
            <w:tcW w:w="4218" w:type="dxa"/>
            <w:tcBorders>
              <w:top w:val="single" w:color="000000" w:sz="8" w:space="0"/>
              <w:left w:val="single" w:color="000000" w:sz="8" w:space="0"/>
              <w:bottom w:val="single" w:color="000000" w:sz="8" w:space="0"/>
              <w:right w:val="single" w:color="000000" w:sz="8" w:space="0"/>
            </w:tcBorders>
            <w:vAlign w:val="center"/>
          </w:tcPr>
          <w:p w14:paraId="505CC801">
            <w:pPr>
              <w:keepNext w:val="0"/>
              <w:keepLines w:val="0"/>
              <w:widowControl/>
              <w:suppressLineNumbers w:val="0"/>
              <w:jc w:val="center"/>
              <w:textAlignment w:val="center"/>
              <w:rPr>
                <w:rFonts w:hint="eastAsia" w:ascii="仿宋" w:hAnsi="仿宋" w:eastAsia="仿宋" w:cs="仿宋"/>
                <w:color w:val="000000"/>
                <w:kern w:val="0"/>
                <w:sz w:val="22"/>
                <w:szCs w:val="22"/>
                <w:highlight w:val="none"/>
                <w:lang w:val="en-US" w:eastAsia="zh-CN" w:bidi="ar"/>
              </w:rPr>
            </w:pPr>
            <w:r>
              <w:rPr>
                <w:rFonts w:hint="eastAsia" w:ascii="仿宋" w:hAnsi="仿宋" w:eastAsia="仿宋" w:cs="仿宋"/>
                <w:color w:val="000000"/>
                <w:kern w:val="0"/>
                <w:sz w:val="22"/>
                <w:szCs w:val="22"/>
                <w:highlight w:val="none"/>
                <w:lang w:val="en-US" w:eastAsia="zh-CN" w:bidi="ar"/>
              </w:rPr>
              <w:t>相当于山依节能、佳宏、环瑞等中档及以上品牌</w:t>
            </w:r>
          </w:p>
        </w:tc>
        <w:tc>
          <w:tcPr>
            <w:tcW w:w="954" w:type="dxa"/>
            <w:tcBorders>
              <w:top w:val="single" w:color="000000" w:sz="8" w:space="0"/>
              <w:left w:val="single" w:color="000000" w:sz="8" w:space="0"/>
              <w:bottom w:val="single" w:color="000000" w:sz="8" w:space="0"/>
              <w:right w:val="single" w:color="000000" w:sz="8" w:space="0"/>
            </w:tcBorders>
            <w:vAlign w:val="center"/>
          </w:tcPr>
          <w:p w14:paraId="1466BE84">
            <w:pPr>
              <w:snapToGrid w:val="0"/>
              <w:spacing w:before="60" w:after="60" w:line="312" w:lineRule="auto"/>
              <w:jc w:val="center"/>
              <w:rPr>
                <w:rFonts w:hint="eastAsia" w:ascii="仿宋" w:hAnsi="仿宋" w:eastAsia="仿宋" w:cs="仿宋"/>
                <w:color w:val="333333"/>
                <w:sz w:val="21"/>
                <w:szCs w:val="21"/>
              </w:rPr>
            </w:pPr>
          </w:p>
        </w:tc>
      </w:tr>
      <w:tr w14:paraId="27A62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9431" w:type="dxa"/>
            <w:gridSpan w:val="5"/>
            <w:tcBorders>
              <w:top w:val="single" w:color="000000" w:sz="8" w:space="0"/>
              <w:left w:val="single" w:color="000000" w:sz="8" w:space="0"/>
              <w:bottom w:val="single" w:color="000000" w:sz="8" w:space="0"/>
              <w:right w:val="single" w:color="000000" w:sz="8" w:space="0"/>
            </w:tcBorders>
            <w:vAlign w:val="center"/>
          </w:tcPr>
          <w:p w14:paraId="16B83286">
            <w:pPr>
              <w:snapToGrid w:val="0"/>
              <w:spacing w:before="60" w:after="60" w:line="312" w:lineRule="auto"/>
              <w:jc w:val="left"/>
              <w:rPr>
                <w:rFonts w:hint="eastAsia" w:ascii="仿宋" w:hAnsi="仿宋" w:eastAsia="仿宋" w:cs="仿宋"/>
                <w:color w:val="333333"/>
                <w:sz w:val="21"/>
                <w:szCs w:val="21"/>
              </w:rPr>
            </w:pPr>
            <w:r>
              <w:rPr>
                <w:rFonts w:hint="eastAsia" w:ascii="仿宋" w:hAnsi="仿宋" w:eastAsia="仿宋" w:cs="仿宋"/>
                <w:b/>
                <w:bCs/>
                <w:color w:val="auto"/>
                <w:sz w:val="28"/>
                <w:szCs w:val="28"/>
                <w:lang w:val="en-US" w:eastAsia="zh-CN"/>
              </w:rPr>
              <w:t>（备注：此表中材料设备要求投标方必须填报品牌，且投标品牌、档次须相当于或者高于参考品牌，否则中标后发包人可以在参考品牌中任意选择某一品牌）</w:t>
            </w:r>
          </w:p>
        </w:tc>
      </w:tr>
    </w:tbl>
    <w:p w14:paraId="53B34088">
      <w:pPr>
        <w:pStyle w:val="4"/>
        <w:keepNext w:val="0"/>
        <w:keepLines w:val="0"/>
        <w:pageBreakBefore w:val="0"/>
        <w:widowControl/>
        <w:numPr>
          <w:ilvl w:val="0"/>
          <w:numId w:val="0"/>
        </w:numPr>
        <w:kinsoku/>
        <w:wordWrap/>
        <w:overflowPunct/>
        <w:topLinePunct w:val="0"/>
        <w:autoSpaceDE/>
        <w:autoSpaceDN/>
        <w:bidi w:val="0"/>
        <w:adjustRightInd/>
        <w:spacing w:beforeAutospacing="0" w:afterAutospacing="0" w:line="360" w:lineRule="auto"/>
        <w:ind w:right="0" w:rightChars="0"/>
        <w:jc w:val="both"/>
        <w:rPr>
          <w:rFonts w:hint="eastAsia" w:ascii="仿宋" w:hAnsi="仿宋" w:eastAsia="仿宋" w:cs="仿宋"/>
          <w:b/>
          <w:bCs/>
          <w:sz w:val="28"/>
          <w:szCs w:val="28"/>
          <w:lang w:val="en-US" w:eastAsia="zh-CN"/>
        </w:rPr>
      </w:pPr>
    </w:p>
    <w:p w14:paraId="4E07AF3D">
      <w:pPr>
        <w:pStyle w:val="4"/>
        <w:keepNext w:val="0"/>
        <w:keepLines w:val="0"/>
        <w:pageBreakBefore w:val="0"/>
        <w:widowControl/>
        <w:numPr>
          <w:ilvl w:val="0"/>
          <w:numId w:val="0"/>
        </w:numPr>
        <w:kinsoku/>
        <w:wordWrap/>
        <w:overflowPunct/>
        <w:topLinePunct w:val="0"/>
        <w:autoSpaceDE/>
        <w:autoSpaceDN/>
        <w:bidi w:val="0"/>
        <w:adjustRightInd/>
        <w:spacing w:beforeAutospacing="0" w:afterAutospacing="0" w:line="360" w:lineRule="auto"/>
        <w:ind w:right="0" w:rightChars="0"/>
        <w:jc w:val="both"/>
        <w:rPr>
          <w:rFonts w:hint="eastAsia" w:ascii="仿宋" w:hAnsi="仿宋" w:eastAsia="仿宋" w:cs="仿宋"/>
          <w:b/>
          <w:bCs/>
          <w:sz w:val="28"/>
          <w:szCs w:val="28"/>
          <w:lang w:val="en-US" w:eastAsia="zh-CN"/>
        </w:rPr>
      </w:pPr>
    </w:p>
    <w:p w14:paraId="3A1F233A">
      <w:pPr>
        <w:pStyle w:val="4"/>
        <w:keepNext w:val="0"/>
        <w:keepLines w:val="0"/>
        <w:pageBreakBefore w:val="0"/>
        <w:widowControl/>
        <w:numPr>
          <w:ilvl w:val="0"/>
          <w:numId w:val="0"/>
        </w:numPr>
        <w:kinsoku/>
        <w:wordWrap/>
        <w:overflowPunct/>
        <w:topLinePunct w:val="0"/>
        <w:autoSpaceDE/>
        <w:autoSpaceDN/>
        <w:bidi w:val="0"/>
        <w:adjustRightInd/>
        <w:spacing w:beforeAutospacing="0" w:afterAutospacing="0" w:line="360" w:lineRule="auto"/>
        <w:ind w:right="0" w:rightChars="0"/>
        <w:jc w:val="both"/>
        <w:rPr>
          <w:rFonts w:hint="eastAsia" w:ascii="仿宋" w:hAnsi="仿宋" w:eastAsia="仿宋" w:cs="仿宋"/>
          <w:b/>
          <w:bCs/>
          <w:sz w:val="28"/>
          <w:szCs w:val="28"/>
          <w:lang w:val="en-US" w:eastAsia="zh-CN"/>
        </w:rPr>
      </w:pPr>
    </w:p>
    <w:p w14:paraId="784BA3FE">
      <w:pPr>
        <w:pStyle w:val="4"/>
        <w:keepNext w:val="0"/>
        <w:keepLines w:val="0"/>
        <w:pageBreakBefore w:val="0"/>
        <w:widowControl/>
        <w:numPr>
          <w:ilvl w:val="0"/>
          <w:numId w:val="0"/>
        </w:numPr>
        <w:kinsoku/>
        <w:wordWrap/>
        <w:overflowPunct/>
        <w:topLinePunct w:val="0"/>
        <w:autoSpaceDE/>
        <w:autoSpaceDN/>
        <w:bidi w:val="0"/>
        <w:adjustRightInd/>
        <w:spacing w:beforeAutospacing="0" w:afterAutospacing="0" w:line="360" w:lineRule="auto"/>
        <w:ind w:right="0" w:rightChars="0"/>
        <w:jc w:val="both"/>
        <w:rPr>
          <w:rFonts w:hint="eastAsia" w:ascii="仿宋" w:hAnsi="仿宋" w:eastAsia="仿宋" w:cs="仿宋"/>
          <w:b/>
          <w:bCs/>
          <w:sz w:val="28"/>
          <w:szCs w:val="28"/>
          <w:lang w:val="en-US" w:eastAsia="zh-CN"/>
        </w:rPr>
      </w:pPr>
    </w:p>
    <w:p w14:paraId="7CE14D92">
      <w:pPr>
        <w:pStyle w:val="4"/>
        <w:keepNext w:val="0"/>
        <w:keepLines w:val="0"/>
        <w:pageBreakBefore w:val="0"/>
        <w:widowControl/>
        <w:numPr>
          <w:ilvl w:val="0"/>
          <w:numId w:val="0"/>
        </w:numPr>
        <w:kinsoku/>
        <w:wordWrap/>
        <w:overflowPunct/>
        <w:topLinePunct w:val="0"/>
        <w:autoSpaceDE/>
        <w:autoSpaceDN/>
        <w:bidi w:val="0"/>
        <w:adjustRightInd/>
        <w:spacing w:beforeAutospacing="0" w:afterAutospacing="0" w:line="360" w:lineRule="auto"/>
        <w:ind w:right="0" w:rightChars="0"/>
        <w:jc w:val="both"/>
        <w:rPr>
          <w:rFonts w:hint="eastAsia" w:ascii="仿宋" w:hAnsi="仿宋" w:eastAsia="仿宋" w:cs="仿宋"/>
          <w:b/>
          <w:bCs/>
          <w:sz w:val="28"/>
          <w:szCs w:val="28"/>
          <w:lang w:val="en-US" w:eastAsia="zh-CN"/>
        </w:rPr>
      </w:pPr>
    </w:p>
    <w:p w14:paraId="37A76C1B">
      <w:pPr>
        <w:pStyle w:val="4"/>
        <w:keepNext w:val="0"/>
        <w:keepLines w:val="0"/>
        <w:pageBreakBefore w:val="0"/>
        <w:widowControl/>
        <w:numPr>
          <w:ilvl w:val="0"/>
          <w:numId w:val="0"/>
        </w:numPr>
        <w:kinsoku/>
        <w:wordWrap/>
        <w:overflowPunct/>
        <w:topLinePunct w:val="0"/>
        <w:autoSpaceDE/>
        <w:autoSpaceDN/>
        <w:bidi w:val="0"/>
        <w:adjustRightInd/>
        <w:spacing w:beforeAutospacing="0" w:afterAutospacing="0" w:line="360" w:lineRule="auto"/>
        <w:ind w:right="0" w:rightChars="0"/>
        <w:jc w:val="both"/>
        <w:rPr>
          <w:rFonts w:hint="eastAsia" w:ascii="仿宋" w:hAnsi="仿宋" w:eastAsia="仿宋" w:cs="仿宋"/>
          <w:b/>
          <w:bCs/>
          <w:sz w:val="28"/>
          <w:szCs w:val="28"/>
          <w:lang w:val="en-US" w:eastAsia="zh-CN"/>
        </w:rPr>
      </w:pPr>
    </w:p>
    <w:p w14:paraId="72E8444D">
      <w:pPr>
        <w:pStyle w:val="4"/>
        <w:keepNext w:val="0"/>
        <w:keepLines w:val="0"/>
        <w:pageBreakBefore w:val="0"/>
        <w:widowControl/>
        <w:numPr>
          <w:ilvl w:val="0"/>
          <w:numId w:val="0"/>
        </w:numPr>
        <w:kinsoku/>
        <w:wordWrap/>
        <w:overflowPunct/>
        <w:topLinePunct w:val="0"/>
        <w:autoSpaceDE/>
        <w:autoSpaceDN/>
        <w:bidi w:val="0"/>
        <w:adjustRightInd/>
        <w:spacing w:beforeAutospacing="0" w:afterAutospacing="0" w:line="360" w:lineRule="auto"/>
        <w:ind w:right="0" w:rightChars="0"/>
        <w:jc w:val="both"/>
        <w:rPr>
          <w:rFonts w:hint="eastAsia" w:ascii="仿宋" w:hAnsi="仿宋" w:eastAsia="仿宋" w:cs="仿宋"/>
          <w:b/>
          <w:bCs/>
          <w:sz w:val="28"/>
          <w:szCs w:val="28"/>
          <w:lang w:val="en-US" w:eastAsia="zh-CN"/>
        </w:rPr>
      </w:pPr>
    </w:p>
    <w:p w14:paraId="67AE497A">
      <w:pPr>
        <w:pStyle w:val="4"/>
        <w:keepNext w:val="0"/>
        <w:keepLines w:val="0"/>
        <w:pageBreakBefore w:val="0"/>
        <w:widowControl/>
        <w:numPr>
          <w:ilvl w:val="0"/>
          <w:numId w:val="0"/>
        </w:numPr>
        <w:kinsoku/>
        <w:wordWrap/>
        <w:overflowPunct/>
        <w:topLinePunct w:val="0"/>
        <w:autoSpaceDE/>
        <w:autoSpaceDN/>
        <w:bidi w:val="0"/>
        <w:adjustRightInd/>
        <w:spacing w:beforeAutospacing="0" w:afterAutospacing="0" w:line="360" w:lineRule="auto"/>
        <w:ind w:right="0" w:rightChars="0"/>
        <w:jc w:val="both"/>
        <w:rPr>
          <w:rFonts w:hint="eastAsia" w:ascii="仿宋" w:hAnsi="仿宋" w:eastAsia="仿宋" w:cs="仿宋"/>
          <w:b/>
          <w:bCs/>
          <w:sz w:val="28"/>
          <w:szCs w:val="28"/>
          <w:lang w:val="en-US" w:eastAsia="zh-CN"/>
        </w:rPr>
      </w:pPr>
    </w:p>
    <w:p w14:paraId="04719762">
      <w:pPr>
        <w:pStyle w:val="4"/>
        <w:keepNext w:val="0"/>
        <w:keepLines w:val="0"/>
        <w:pageBreakBefore w:val="0"/>
        <w:widowControl/>
        <w:numPr>
          <w:ilvl w:val="0"/>
          <w:numId w:val="0"/>
        </w:numPr>
        <w:kinsoku/>
        <w:wordWrap/>
        <w:overflowPunct/>
        <w:topLinePunct w:val="0"/>
        <w:autoSpaceDE/>
        <w:autoSpaceDN/>
        <w:bidi w:val="0"/>
        <w:adjustRightInd/>
        <w:spacing w:beforeAutospacing="0" w:afterAutospacing="0" w:line="360" w:lineRule="auto"/>
        <w:ind w:right="0" w:right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附表三</w:t>
      </w:r>
    </w:p>
    <w:p w14:paraId="3FB24C9D">
      <w:pPr>
        <w:pStyle w:val="4"/>
        <w:keepNext w:val="0"/>
        <w:keepLines w:val="0"/>
        <w:pageBreakBefore w:val="0"/>
        <w:widowControl/>
        <w:numPr>
          <w:ilvl w:val="0"/>
          <w:numId w:val="0"/>
        </w:numPr>
        <w:kinsoku/>
        <w:wordWrap/>
        <w:overflowPunct/>
        <w:topLinePunct w:val="0"/>
        <w:autoSpaceDE/>
        <w:autoSpaceDN/>
        <w:bidi w:val="0"/>
        <w:adjustRightInd/>
        <w:spacing w:beforeAutospacing="0" w:afterAutospacing="0" w:line="360" w:lineRule="auto"/>
        <w:ind w:right="0" w:rightChars="0"/>
        <w:jc w:val="center"/>
        <w:rPr>
          <w:rFonts w:hint="eastAsia" w:ascii="仿宋" w:hAnsi="仿宋" w:eastAsia="仿宋" w:cs="仿宋"/>
          <w:b/>
          <w:bCs/>
          <w:sz w:val="32"/>
          <w:szCs w:val="32"/>
          <w:lang w:val="en-US" w:eastAsia="zh-CN"/>
        </w:rPr>
      </w:pPr>
      <w:r>
        <w:rPr>
          <w:rFonts w:hint="eastAsia" w:ascii="仿宋" w:hAnsi="仿宋" w:eastAsia="仿宋" w:cs="仿宋"/>
          <w:b/>
          <w:bCs/>
          <w:color w:val="auto"/>
          <w:sz w:val="28"/>
          <w:szCs w:val="28"/>
          <w:lang w:val="en-US" w:eastAsia="zh-CN"/>
        </w:rPr>
        <w:t>主要材料、设备</w:t>
      </w:r>
      <w:r>
        <w:rPr>
          <w:rFonts w:hint="eastAsia" w:ascii="仿宋" w:hAnsi="仿宋" w:eastAsia="仿宋" w:cs="仿宋"/>
          <w:b/>
          <w:bCs/>
          <w:sz w:val="28"/>
          <w:szCs w:val="28"/>
        </w:rPr>
        <w:t>价格公示表</w:t>
      </w:r>
    </w:p>
    <w:tbl>
      <w:tblPr>
        <w:tblStyle w:val="6"/>
        <w:tblW w:w="49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773"/>
        <w:gridCol w:w="3704"/>
        <w:gridCol w:w="694"/>
        <w:gridCol w:w="1360"/>
        <w:gridCol w:w="970"/>
        <w:gridCol w:w="1940"/>
      </w:tblGrid>
      <w:tr w14:paraId="640EC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1042" w:hRule="atLeast"/>
        </w:trPr>
        <w:tc>
          <w:tcPr>
            <w:tcW w:w="409" w:type="pct"/>
            <w:tcBorders>
              <w:top w:val="single" w:color="000000" w:sz="8" w:space="0"/>
              <w:left w:val="single" w:color="000000" w:sz="8" w:space="0"/>
              <w:bottom w:val="single" w:color="000000" w:sz="8" w:space="0"/>
              <w:right w:val="single" w:color="000000" w:sz="8" w:space="0"/>
            </w:tcBorders>
            <w:vAlign w:val="center"/>
          </w:tcPr>
          <w:p w14:paraId="2947F139">
            <w:pPr>
              <w:snapToGrid w:val="0"/>
              <w:spacing w:before="60" w:after="60" w:line="312" w:lineRule="auto"/>
              <w:jc w:val="center"/>
              <w:rPr>
                <w:rFonts w:hint="eastAsia" w:ascii="仿宋" w:hAnsi="仿宋" w:eastAsia="仿宋" w:cs="仿宋"/>
                <w:color w:val="auto"/>
                <w:sz w:val="22"/>
                <w:szCs w:val="22"/>
              </w:rPr>
            </w:pPr>
            <w:r>
              <w:rPr>
                <w:rFonts w:hint="eastAsia" w:ascii="仿宋" w:hAnsi="仿宋" w:eastAsia="仿宋" w:cs="仿宋"/>
                <w:color w:val="auto"/>
                <w:sz w:val="22"/>
                <w:szCs w:val="22"/>
              </w:rPr>
              <w:t>序号</w:t>
            </w:r>
          </w:p>
        </w:tc>
        <w:tc>
          <w:tcPr>
            <w:tcW w:w="1961" w:type="pct"/>
            <w:tcBorders>
              <w:top w:val="single" w:color="000000" w:sz="8" w:space="0"/>
              <w:left w:val="single" w:color="000000" w:sz="8" w:space="0"/>
              <w:bottom w:val="single" w:color="000000" w:sz="8" w:space="0"/>
              <w:right w:val="single" w:color="000000" w:sz="8" w:space="0"/>
            </w:tcBorders>
            <w:vAlign w:val="center"/>
          </w:tcPr>
          <w:p w14:paraId="68559538">
            <w:pPr>
              <w:snapToGrid w:val="0"/>
              <w:spacing w:before="60" w:after="60" w:line="312" w:lineRule="auto"/>
              <w:jc w:val="center"/>
              <w:rPr>
                <w:rFonts w:hint="eastAsia" w:ascii="仿宋" w:hAnsi="仿宋" w:eastAsia="仿宋" w:cs="仿宋"/>
                <w:color w:val="auto"/>
                <w:sz w:val="22"/>
                <w:szCs w:val="22"/>
              </w:rPr>
            </w:pPr>
            <w:r>
              <w:rPr>
                <w:rFonts w:hint="eastAsia" w:ascii="仿宋" w:hAnsi="仿宋" w:eastAsia="仿宋" w:cs="仿宋"/>
                <w:color w:val="auto"/>
                <w:sz w:val="22"/>
                <w:szCs w:val="22"/>
              </w:rPr>
              <w:t>名称</w:t>
            </w:r>
          </w:p>
        </w:tc>
        <w:tc>
          <w:tcPr>
            <w:tcW w:w="367" w:type="pct"/>
            <w:tcBorders>
              <w:top w:val="single" w:color="000000" w:sz="8" w:space="0"/>
              <w:left w:val="single" w:color="000000" w:sz="8" w:space="0"/>
              <w:bottom w:val="single" w:color="000000" w:sz="8" w:space="0"/>
              <w:right w:val="single" w:color="000000" w:sz="8" w:space="0"/>
            </w:tcBorders>
            <w:vAlign w:val="center"/>
          </w:tcPr>
          <w:p w14:paraId="48791B49">
            <w:pPr>
              <w:snapToGrid w:val="0"/>
              <w:spacing w:before="60" w:after="60" w:line="312" w:lineRule="auto"/>
              <w:jc w:val="center"/>
              <w:rPr>
                <w:rFonts w:hint="eastAsia" w:ascii="仿宋" w:hAnsi="仿宋" w:eastAsia="仿宋" w:cs="仿宋"/>
                <w:color w:val="auto"/>
                <w:sz w:val="22"/>
                <w:szCs w:val="22"/>
              </w:rPr>
            </w:pPr>
            <w:r>
              <w:rPr>
                <w:rFonts w:hint="eastAsia" w:ascii="仿宋" w:hAnsi="仿宋" w:eastAsia="仿宋" w:cs="仿宋"/>
                <w:color w:val="auto"/>
                <w:sz w:val="22"/>
                <w:szCs w:val="22"/>
              </w:rPr>
              <w:t>单位</w:t>
            </w:r>
          </w:p>
        </w:tc>
        <w:tc>
          <w:tcPr>
            <w:tcW w:w="720" w:type="pct"/>
            <w:tcBorders>
              <w:top w:val="single" w:color="000000" w:sz="8" w:space="0"/>
              <w:left w:val="single" w:color="000000" w:sz="8" w:space="0"/>
              <w:bottom w:val="single" w:color="000000" w:sz="8" w:space="0"/>
              <w:right w:val="single" w:color="000000" w:sz="8" w:space="0"/>
            </w:tcBorders>
            <w:vAlign w:val="center"/>
          </w:tcPr>
          <w:p w14:paraId="6FE34D58">
            <w:pPr>
              <w:snapToGrid w:val="0"/>
              <w:spacing w:before="60" w:after="60" w:line="312" w:lineRule="auto"/>
              <w:jc w:val="center"/>
              <w:rPr>
                <w:rFonts w:hint="eastAsia" w:ascii="仿宋" w:hAnsi="仿宋" w:eastAsia="仿宋" w:cs="仿宋"/>
                <w:color w:val="auto"/>
                <w:sz w:val="22"/>
                <w:szCs w:val="22"/>
              </w:rPr>
            </w:pPr>
            <w:r>
              <w:rPr>
                <w:rFonts w:hint="eastAsia" w:ascii="仿宋" w:hAnsi="仿宋" w:eastAsia="仿宋" w:cs="仿宋"/>
                <w:i w:val="0"/>
                <w:iCs w:val="0"/>
                <w:color w:val="auto"/>
                <w:kern w:val="0"/>
                <w:sz w:val="22"/>
                <w:szCs w:val="22"/>
                <w:u w:val="none"/>
                <w:lang w:val="en-US" w:eastAsia="zh-CN" w:bidi="ar"/>
              </w:rPr>
              <w:t>公示价（元）   不含税</w:t>
            </w:r>
          </w:p>
        </w:tc>
        <w:tc>
          <w:tcPr>
            <w:tcW w:w="513" w:type="pct"/>
            <w:tcBorders>
              <w:top w:val="single" w:color="000000" w:sz="8" w:space="0"/>
              <w:left w:val="single" w:color="000000" w:sz="8" w:space="0"/>
              <w:bottom w:val="single" w:color="000000" w:sz="8" w:space="0"/>
              <w:right w:val="single" w:color="000000" w:sz="8" w:space="0"/>
            </w:tcBorders>
            <w:vAlign w:val="center"/>
          </w:tcPr>
          <w:p w14:paraId="03E2B5D7">
            <w:pPr>
              <w:snapToGrid w:val="0"/>
              <w:spacing w:before="60" w:after="60" w:line="312" w:lineRule="auto"/>
              <w:jc w:val="center"/>
              <w:rPr>
                <w:rFonts w:hint="default" w:ascii="仿宋" w:hAnsi="仿宋" w:eastAsia="仿宋" w:cs="仿宋"/>
                <w:color w:val="auto"/>
                <w:sz w:val="22"/>
                <w:szCs w:val="22"/>
                <w:lang w:val="en-US"/>
              </w:rPr>
            </w:pPr>
            <w:r>
              <w:rPr>
                <w:rFonts w:hint="eastAsia" w:ascii="仿宋" w:hAnsi="仿宋" w:eastAsia="仿宋" w:cs="仿宋"/>
                <w:color w:val="333333"/>
                <w:sz w:val="22"/>
                <w:szCs w:val="22"/>
                <w:lang w:val="en-US" w:eastAsia="zh-CN"/>
              </w:rPr>
              <w:t>投标价</w:t>
            </w:r>
          </w:p>
        </w:tc>
        <w:tc>
          <w:tcPr>
            <w:tcW w:w="1027" w:type="pct"/>
            <w:tcBorders>
              <w:top w:val="single" w:color="000000" w:sz="8" w:space="0"/>
              <w:left w:val="single" w:color="000000" w:sz="8" w:space="0"/>
              <w:bottom w:val="single" w:color="000000" w:sz="8" w:space="0"/>
              <w:right w:val="single" w:color="000000" w:sz="8" w:space="0"/>
            </w:tcBorders>
            <w:vAlign w:val="center"/>
          </w:tcPr>
          <w:p w14:paraId="3BAD4D39">
            <w:pPr>
              <w:snapToGrid w:val="0"/>
              <w:spacing w:before="60" w:after="60" w:line="312" w:lineRule="auto"/>
              <w:jc w:val="center"/>
              <w:rPr>
                <w:rFonts w:hint="eastAsia" w:ascii="仿宋" w:hAnsi="仿宋" w:eastAsia="仿宋" w:cs="仿宋"/>
                <w:color w:val="auto"/>
                <w:sz w:val="22"/>
                <w:szCs w:val="22"/>
              </w:rPr>
            </w:pPr>
            <w:r>
              <w:rPr>
                <w:rFonts w:hint="eastAsia" w:ascii="仿宋" w:hAnsi="仿宋" w:eastAsia="仿宋" w:cs="仿宋"/>
                <w:color w:val="auto"/>
                <w:sz w:val="22"/>
                <w:szCs w:val="22"/>
              </w:rPr>
              <w:t>备注</w:t>
            </w:r>
          </w:p>
        </w:tc>
      </w:tr>
      <w:tr w14:paraId="00F8B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409" w:type="pct"/>
            <w:tcBorders>
              <w:top w:val="single" w:color="000000" w:sz="8" w:space="0"/>
              <w:left w:val="single" w:color="000000" w:sz="8" w:space="0"/>
              <w:bottom w:val="single" w:color="000000" w:sz="8" w:space="0"/>
              <w:right w:val="single" w:color="000000" w:sz="8" w:space="0"/>
            </w:tcBorders>
            <w:vAlign w:val="center"/>
          </w:tcPr>
          <w:p w14:paraId="1664723B">
            <w:pPr>
              <w:keepNext w:val="0"/>
              <w:keepLines w:val="0"/>
              <w:widowControl/>
              <w:suppressLineNumbers w:val="0"/>
              <w:jc w:val="center"/>
              <w:textAlignment w:val="center"/>
              <w:rPr>
                <w:rFonts w:hint="default" w:ascii="仿宋" w:hAnsi="仿宋" w:eastAsia="仿宋" w:cs="仿宋"/>
                <w:i w:val="0"/>
                <w:color w:val="auto"/>
                <w:sz w:val="22"/>
                <w:szCs w:val="22"/>
                <w:u w:val="none"/>
                <w:lang w:val="en-US" w:eastAsia="zh-CN"/>
              </w:rPr>
            </w:pPr>
            <w:r>
              <w:rPr>
                <w:rFonts w:hint="eastAsia" w:ascii="仿宋" w:hAnsi="仿宋" w:eastAsia="仿宋" w:cs="仿宋"/>
                <w:i w:val="0"/>
                <w:color w:val="auto"/>
                <w:sz w:val="22"/>
                <w:szCs w:val="22"/>
                <w:u w:val="none"/>
                <w:lang w:val="en-US" w:eastAsia="zh-CN"/>
              </w:rPr>
              <w:t>1</w:t>
            </w:r>
          </w:p>
        </w:tc>
        <w:tc>
          <w:tcPr>
            <w:tcW w:w="1961" w:type="pct"/>
            <w:tcBorders>
              <w:top w:val="single" w:color="000000" w:sz="8" w:space="0"/>
              <w:left w:val="single" w:color="000000" w:sz="8" w:space="0"/>
              <w:bottom w:val="single" w:color="000000" w:sz="8" w:space="0"/>
              <w:right w:val="single" w:color="000000" w:sz="8" w:space="0"/>
            </w:tcBorders>
            <w:vAlign w:val="center"/>
          </w:tcPr>
          <w:p w14:paraId="3A91E8BB">
            <w:pPr>
              <w:snapToGrid w:val="0"/>
              <w:spacing w:before="60" w:after="60" w:line="312" w:lineRule="auto"/>
              <w:jc w:val="center"/>
              <w:rPr>
                <w:rFonts w:hint="default" w:ascii="仿宋" w:hAnsi="仿宋" w:eastAsia="仿宋" w:cs="仿宋"/>
                <w:i w:val="0"/>
                <w:color w:val="auto"/>
                <w:kern w:val="0"/>
                <w:sz w:val="22"/>
                <w:szCs w:val="22"/>
                <w:u w:val="none"/>
                <w:lang w:val="en-US" w:eastAsia="zh-CN" w:bidi="ar"/>
              </w:rPr>
            </w:pPr>
            <w:r>
              <w:rPr>
                <w:rFonts w:hint="eastAsia" w:ascii="仿宋" w:hAnsi="仿宋" w:eastAsia="仿宋" w:cs="仿宋"/>
                <w:i w:val="0"/>
                <w:color w:val="auto"/>
                <w:kern w:val="0"/>
                <w:sz w:val="22"/>
                <w:szCs w:val="22"/>
                <w:u w:val="none"/>
                <w:lang w:val="en-US" w:eastAsia="zh-CN" w:bidi="ar"/>
              </w:rPr>
              <w:t>外开、外开上悬窗窗扇五金件更换</w:t>
            </w:r>
          </w:p>
          <w:p w14:paraId="69A9C5C6">
            <w:pPr>
              <w:snapToGrid w:val="0"/>
              <w:spacing w:before="60" w:after="60" w:line="312" w:lineRule="auto"/>
              <w:jc w:val="center"/>
              <w:rPr>
                <w:rFonts w:hint="default" w:ascii="仿宋" w:hAnsi="仿宋" w:cs="仿宋" w:eastAsiaTheme="minorEastAsia"/>
                <w:color w:val="auto"/>
                <w:sz w:val="22"/>
                <w:szCs w:val="22"/>
                <w:lang w:val="en-US" w:eastAsia="zh-CN"/>
              </w:rPr>
            </w:pPr>
            <w:r>
              <w:rPr>
                <w:rFonts w:hint="eastAsia" w:ascii="仿宋" w:hAnsi="仿宋" w:eastAsia="仿宋" w:cs="仿宋"/>
                <w:i w:val="0"/>
                <w:color w:val="auto"/>
                <w:kern w:val="0"/>
                <w:sz w:val="22"/>
                <w:szCs w:val="22"/>
                <w:u w:val="none"/>
                <w:lang w:val="en-US" w:eastAsia="zh-CN" w:bidi="ar"/>
              </w:rPr>
              <w:t>（填补旧孔洞，做好成品保护，满足气密性、水密性等各项要求）</w:t>
            </w:r>
          </w:p>
        </w:tc>
        <w:tc>
          <w:tcPr>
            <w:tcW w:w="367" w:type="pct"/>
            <w:tcBorders>
              <w:top w:val="single" w:color="000000" w:sz="8" w:space="0"/>
              <w:left w:val="single" w:color="000000" w:sz="8" w:space="0"/>
              <w:bottom w:val="single" w:color="000000" w:sz="8" w:space="0"/>
              <w:right w:val="single" w:color="000000" w:sz="8" w:space="0"/>
            </w:tcBorders>
            <w:vAlign w:val="center"/>
          </w:tcPr>
          <w:p w14:paraId="7C8359FD">
            <w:pPr>
              <w:snapToGrid w:val="0"/>
              <w:spacing w:before="60" w:after="60" w:line="312" w:lineRule="auto"/>
              <w:jc w:val="center"/>
              <w:rPr>
                <w:rFonts w:hint="default" w:ascii="仿宋" w:hAnsi="仿宋" w:eastAsia="仿宋" w:cs="仿宋"/>
                <w:i w:val="0"/>
                <w:color w:val="auto"/>
                <w:kern w:val="0"/>
                <w:sz w:val="22"/>
                <w:szCs w:val="22"/>
                <w:u w:val="none"/>
                <w:lang w:val="en-US" w:eastAsia="zh-CN" w:bidi="ar"/>
              </w:rPr>
            </w:pPr>
            <w:r>
              <w:rPr>
                <w:rFonts w:hint="eastAsia" w:ascii="仿宋" w:hAnsi="仿宋" w:eastAsia="仿宋" w:cs="仿宋"/>
                <w:i w:val="0"/>
                <w:color w:val="auto"/>
                <w:kern w:val="0"/>
                <w:sz w:val="22"/>
                <w:szCs w:val="22"/>
                <w:u w:val="none"/>
                <w:lang w:val="en-US" w:eastAsia="zh-CN" w:bidi="ar"/>
              </w:rPr>
              <w:t>扇</w:t>
            </w:r>
          </w:p>
        </w:tc>
        <w:tc>
          <w:tcPr>
            <w:tcW w:w="720" w:type="pct"/>
            <w:tcBorders>
              <w:top w:val="single" w:color="000000" w:sz="8" w:space="0"/>
              <w:left w:val="single" w:color="000000" w:sz="8" w:space="0"/>
              <w:bottom w:val="single" w:color="000000" w:sz="8" w:space="0"/>
              <w:right w:val="single" w:color="000000" w:sz="8" w:space="0"/>
            </w:tcBorders>
            <w:vAlign w:val="center"/>
          </w:tcPr>
          <w:p w14:paraId="325CF6F5">
            <w:pPr>
              <w:keepNext w:val="0"/>
              <w:keepLines w:val="0"/>
              <w:widowControl/>
              <w:suppressLineNumbers w:val="0"/>
              <w:jc w:val="center"/>
              <w:textAlignment w:val="center"/>
              <w:rPr>
                <w:rFonts w:hint="default" w:ascii="仿宋" w:hAnsi="仿宋" w:eastAsia="仿宋" w:cs="仿宋"/>
                <w:i w:val="0"/>
                <w:color w:val="auto"/>
                <w:kern w:val="0"/>
                <w:sz w:val="22"/>
                <w:szCs w:val="22"/>
                <w:u w:val="none"/>
                <w:lang w:val="en-US" w:eastAsia="zh-CN" w:bidi="ar"/>
              </w:rPr>
            </w:pPr>
            <w:r>
              <w:rPr>
                <w:rFonts w:hint="eastAsia" w:ascii="仿宋" w:hAnsi="仿宋" w:eastAsia="仿宋" w:cs="仿宋"/>
                <w:i w:val="0"/>
                <w:color w:val="auto"/>
                <w:kern w:val="0"/>
                <w:sz w:val="22"/>
                <w:szCs w:val="22"/>
                <w:u w:val="none"/>
                <w:lang w:val="en-US" w:eastAsia="zh-CN" w:bidi="ar"/>
              </w:rPr>
              <w:t>50</w:t>
            </w:r>
          </w:p>
        </w:tc>
        <w:tc>
          <w:tcPr>
            <w:tcW w:w="513" w:type="pct"/>
            <w:tcBorders>
              <w:top w:val="single" w:color="000000" w:sz="8" w:space="0"/>
              <w:left w:val="single" w:color="000000" w:sz="8" w:space="0"/>
              <w:bottom w:val="single" w:color="000000" w:sz="8" w:space="0"/>
              <w:right w:val="single" w:color="000000" w:sz="8" w:space="0"/>
            </w:tcBorders>
            <w:vAlign w:val="center"/>
          </w:tcPr>
          <w:p w14:paraId="05B9B630">
            <w:pPr>
              <w:keepNext w:val="0"/>
              <w:keepLines w:val="0"/>
              <w:widowControl/>
              <w:suppressLineNumbers w:val="0"/>
              <w:jc w:val="center"/>
              <w:textAlignment w:val="center"/>
              <w:rPr>
                <w:rFonts w:hint="default" w:ascii="仿宋" w:hAnsi="仿宋" w:eastAsia="仿宋" w:cs="仿宋"/>
                <w:color w:val="auto"/>
                <w:sz w:val="22"/>
                <w:szCs w:val="22"/>
                <w:lang w:val="en-US" w:eastAsia="zh-CN"/>
              </w:rPr>
            </w:pPr>
          </w:p>
        </w:tc>
        <w:tc>
          <w:tcPr>
            <w:tcW w:w="1027" w:type="pct"/>
            <w:tcBorders>
              <w:top w:val="single" w:color="000000" w:sz="8" w:space="0"/>
              <w:left w:val="single" w:color="000000" w:sz="8" w:space="0"/>
              <w:bottom w:val="single" w:color="000000" w:sz="8" w:space="0"/>
              <w:right w:val="single" w:color="000000" w:sz="8" w:space="0"/>
            </w:tcBorders>
            <w:vAlign w:val="center"/>
          </w:tcPr>
          <w:p w14:paraId="2AE3082E">
            <w:pPr>
              <w:keepNext w:val="0"/>
              <w:keepLines w:val="0"/>
              <w:widowControl/>
              <w:suppressLineNumbers w:val="0"/>
              <w:jc w:val="center"/>
              <w:textAlignment w:val="center"/>
              <w:rPr>
                <w:rFonts w:hint="default" w:ascii="仿宋" w:hAnsi="仿宋" w:eastAsia="仿宋" w:cs="仿宋"/>
                <w:i w:val="0"/>
                <w:color w:val="auto"/>
                <w:sz w:val="22"/>
                <w:szCs w:val="22"/>
                <w:u w:val="none"/>
                <w:lang w:val="en-US" w:eastAsia="zh-CN"/>
              </w:rPr>
            </w:pPr>
            <w:r>
              <w:rPr>
                <w:rFonts w:hint="eastAsia" w:ascii="仿宋" w:hAnsi="仿宋" w:eastAsia="仿宋" w:cs="仿宋"/>
                <w:i w:val="0"/>
                <w:color w:val="auto"/>
                <w:sz w:val="22"/>
                <w:szCs w:val="22"/>
                <w:u w:val="none"/>
                <w:lang w:val="en-US" w:eastAsia="zh-CN"/>
              </w:rPr>
              <w:t>综合单价</w:t>
            </w:r>
          </w:p>
        </w:tc>
      </w:tr>
      <w:tr w14:paraId="36C43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409" w:type="pct"/>
            <w:tcBorders>
              <w:top w:val="single" w:color="000000" w:sz="8" w:space="0"/>
              <w:left w:val="single" w:color="000000" w:sz="8" w:space="0"/>
              <w:bottom w:val="single" w:color="000000" w:sz="8" w:space="0"/>
              <w:right w:val="single" w:color="000000" w:sz="8" w:space="0"/>
            </w:tcBorders>
            <w:vAlign w:val="center"/>
          </w:tcPr>
          <w:p w14:paraId="4B37BF57">
            <w:pPr>
              <w:keepNext w:val="0"/>
              <w:keepLines w:val="0"/>
              <w:widowControl/>
              <w:suppressLineNumbers w:val="0"/>
              <w:jc w:val="center"/>
              <w:textAlignment w:val="center"/>
              <w:rPr>
                <w:rFonts w:hint="default" w:ascii="仿宋" w:hAnsi="仿宋" w:eastAsia="仿宋" w:cs="仿宋"/>
                <w:i w:val="0"/>
                <w:color w:val="auto"/>
                <w:sz w:val="22"/>
                <w:szCs w:val="22"/>
                <w:u w:val="none"/>
                <w:lang w:val="en-US" w:eastAsia="zh-CN"/>
              </w:rPr>
            </w:pPr>
            <w:r>
              <w:rPr>
                <w:rFonts w:hint="eastAsia" w:ascii="仿宋" w:hAnsi="仿宋" w:eastAsia="仿宋" w:cs="仿宋"/>
                <w:i w:val="0"/>
                <w:color w:val="auto"/>
                <w:sz w:val="22"/>
                <w:szCs w:val="22"/>
                <w:u w:val="none"/>
                <w:lang w:val="en-US" w:eastAsia="zh-CN"/>
              </w:rPr>
              <w:t>2</w:t>
            </w:r>
          </w:p>
        </w:tc>
        <w:tc>
          <w:tcPr>
            <w:tcW w:w="1961" w:type="pct"/>
            <w:tcBorders>
              <w:top w:val="single" w:color="000000" w:sz="8" w:space="0"/>
              <w:left w:val="single" w:color="000000" w:sz="8" w:space="0"/>
              <w:bottom w:val="single" w:color="000000" w:sz="8" w:space="0"/>
              <w:right w:val="single" w:color="000000" w:sz="8" w:space="0"/>
            </w:tcBorders>
            <w:vAlign w:val="center"/>
          </w:tcPr>
          <w:p w14:paraId="6160FD83">
            <w:pPr>
              <w:pStyle w:val="4"/>
              <w:keepNext w:val="0"/>
              <w:keepLines w:val="0"/>
              <w:widowControl/>
              <w:suppressLineNumbers w:val="0"/>
              <w:spacing w:before="0" w:beforeAutospacing="0" w:after="0" w:afterAutospacing="0"/>
              <w:ind w:left="0" w:right="0" w:firstLine="0"/>
              <w:jc w:val="center"/>
              <w:rPr>
                <w:rFonts w:hint="default" w:ascii="仿宋" w:hAnsi="仿宋" w:eastAsia="仿宋" w:cs="仿宋"/>
                <w:i w:val="0"/>
                <w:color w:val="auto"/>
                <w:kern w:val="0"/>
                <w:sz w:val="22"/>
                <w:szCs w:val="22"/>
                <w:u w:val="none"/>
                <w:lang w:val="en-US" w:eastAsia="zh-CN" w:bidi="ar"/>
              </w:rPr>
            </w:pPr>
            <w:r>
              <w:rPr>
                <w:rFonts w:hint="eastAsia" w:ascii="仿宋" w:hAnsi="仿宋" w:eastAsia="仿宋" w:cs="仿宋"/>
                <w:i w:val="0"/>
                <w:color w:val="auto"/>
                <w:kern w:val="0"/>
                <w:sz w:val="22"/>
                <w:szCs w:val="22"/>
                <w:u w:val="none"/>
                <w:lang w:val="en-US" w:eastAsia="zh-CN" w:bidi="ar"/>
              </w:rPr>
              <w:t>平开窗窗扇五金件更换</w:t>
            </w:r>
          </w:p>
          <w:p w14:paraId="742FE877">
            <w:pPr>
              <w:keepNext w:val="0"/>
              <w:keepLines w:val="0"/>
              <w:widowControl/>
              <w:suppressLineNumbers w:val="0"/>
              <w:jc w:val="center"/>
              <w:textAlignment w:val="center"/>
              <w:rPr>
                <w:rFonts w:hint="eastAsia" w:ascii="仿宋" w:hAnsi="仿宋" w:eastAsia="仿宋" w:cs="仿宋"/>
                <w:color w:val="auto"/>
                <w:kern w:val="0"/>
                <w:sz w:val="22"/>
                <w:szCs w:val="22"/>
                <w:lang w:val="en-US" w:eastAsia="zh-CN" w:bidi="ar"/>
              </w:rPr>
            </w:pPr>
            <w:r>
              <w:rPr>
                <w:rFonts w:hint="eastAsia" w:ascii="仿宋" w:hAnsi="仿宋" w:eastAsia="仿宋" w:cs="仿宋"/>
                <w:i w:val="0"/>
                <w:color w:val="auto"/>
                <w:kern w:val="0"/>
                <w:sz w:val="22"/>
                <w:szCs w:val="22"/>
                <w:u w:val="none"/>
                <w:lang w:val="en-US" w:eastAsia="zh-CN" w:bidi="ar"/>
              </w:rPr>
              <w:t>（填补旧孔洞，做好成品保护，满足气密性、水密性等各项要求）</w:t>
            </w:r>
          </w:p>
        </w:tc>
        <w:tc>
          <w:tcPr>
            <w:tcW w:w="367" w:type="pct"/>
            <w:tcBorders>
              <w:top w:val="single" w:color="000000" w:sz="8" w:space="0"/>
              <w:left w:val="single" w:color="000000" w:sz="8" w:space="0"/>
              <w:bottom w:val="single" w:color="000000" w:sz="8" w:space="0"/>
              <w:right w:val="single" w:color="000000" w:sz="8" w:space="0"/>
            </w:tcBorders>
            <w:vAlign w:val="center"/>
          </w:tcPr>
          <w:p w14:paraId="31D12F5B">
            <w:pPr>
              <w:snapToGrid w:val="0"/>
              <w:spacing w:before="60" w:after="60" w:line="312" w:lineRule="auto"/>
              <w:jc w:val="center"/>
              <w:rPr>
                <w:rFonts w:hint="eastAsia" w:ascii="仿宋" w:hAnsi="仿宋" w:eastAsia="仿宋" w:cs="仿宋"/>
                <w:color w:val="auto"/>
                <w:kern w:val="0"/>
                <w:sz w:val="22"/>
                <w:szCs w:val="22"/>
                <w:lang w:bidi="ar"/>
              </w:rPr>
            </w:pPr>
            <w:r>
              <w:rPr>
                <w:rFonts w:hint="eastAsia" w:ascii="仿宋" w:hAnsi="仿宋" w:eastAsia="仿宋" w:cs="仿宋"/>
                <w:i w:val="0"/>
                <w:color w:val="auto"/>
                <w:kern w:val="0"/>
                <w:sz w:val="22"/>
                <w:szCs w:val="22"/>
                <w:u w:val="none"/>
                <w:lang w:val="en-US" w:eastAsia="zh-CN" w:bidi="ar"/>
              </w:rPr>
              <w:t>扇</w:t>
            </w:r>
          </w:p>
        </w:tc>
        <w:tc>
          <w:tcPr>
            <w:tcW w:w="720" w:type="pct"/>
            <w:tcBorders>
              <w:top w:val="single" w:color="000000" w:sz="8" w:space="0"/>
              <w:left w:val="single" w:color="000000" w:sz="8" w:space="0"/>
              <w:bottom w:val="single" w:color="000000" w:sz="8" w:space="0"/>
              <w:right w:val="single" w:color="000000" w:sz="8" w:space="0"/>
            </w:tcBorders>
            <w:vAlign w:val="center"/>
          </w:tcPr>
          <w:p w14:paraId="068447AB">
            <w:pPr>
              <w:keepNext w:val="0"/>
              <w:keepLines w:val="0"/>
              <w:widowControl/>
              <w:suppressLineNumbers w:val="0"/>
              <w:jc w:val="center"/>
              <w:textAlignment w:val="center"/>
              <w:rPr>
                <w:rFonts w:hint="default" w:ascii="仿宋" w:hAnsi="仿宋" w:eastAsia="仿宋" w:cs="仿宋"/>
                <w:i w:val="0"/>
                <w:color w:val="auto"/>
                <w:kern w:val="0"/>
                <w:sz w:val="22"/>
                <w:szCs w:val="22"/>
                <w:u w:val="none"/>
                <w:lang w:val="en-US" w:eastAsia="zh-CN" w:bidi="ar"/>
              </w:rPr>
            </w:pPr>
            <w:r>
              <w:rPr>
                <w:rFonts w:hint="eastAsia" w:ascii="仿宋" w:hAnsi="仿宋" w:eastAsia="仿宋" w:cs="仿宋"/>
                <w:i w:val="0"/>
                <w:color w:val="auto"/>
                <w:kern w:val="0"/>
                <w:sz w:val="22"/>
                <w:szCs w:val="22"/>
                <w:u w:val="none"/>
                <w:lang w:val="en-US" w:eastAsia="zh-CN" w:bidi="ar"/>
              </w:rPr>
              <w:t>85</w:t>
            </w:r>
          </w:p>
        </w:tc>
        <w:tc>
          <w:tcPr>
            <w:tcW w:w="513" w:type="pct"/>
            <w:tcBorders>
              <w:top w:val="single" w:color="000000" w:sz="8" w:space="0"/>
              <w:left w:val="single" w:color="000000" w:sz="8" w:space="0"/>
              <w:bottom w:val="single" w:color="000000" w:sz="8" w:space="0"/>
              <w:right w:val="single" w:color="000000" w:sz="8" w:space="0"/>
            </w:tcBorders>
            <w:vAlign w:val="center"/>
          </w:tcPr>
          <w:p w14:paraId="7BA7405F">
            <w:pPr>
              <w:keepNext w:val="0"/>
              <w:keepLines w:val="0"/>
              <w:widowControl/>
              <w:suppressLineNumbers w:val="0"/>
              <w:jc w:val="center"/>
              <w:textAlignment w:val="center"/>
              <w:rPr>
                <w:rFonts w:hint="default" w:ascii="仿宋" w:hAnsi="仿宋" w:eastAsia="仿宋" w:cs="仿宋"/>
                <w:color w:val="auto"/>
                <w:sz w:val="22"/>
                <w:szCs w:val="22"/>
                <w:lang w:val="en-US" w:eastAsia="zh-CN"/>
              </w:rPr>
            </w:pPr>
          </w:p>
        </w:tc>
        <w:tc>
          <w:tcPr>
            <w:tcW w:w="1027" w:type="pct"/>
            <w:tcBorders>
              <w:top w:val="single" w:color="000000" w:sz="8" w:space="0"/>
              <w:left w:val="single" w:color="000000" w:sz="8" w:space="0"/>
              <w:bottom w:val="single" w:color="000000" w:sz="8" w:space="0"/>
              <w:right w:val="single" w:color="000000" w:sz="8" w:space="0"/>
            </w:tcBorders>
            <w:vAlign w:val="center"/>
          </w:tcPr>
          <w:p w14:paraId="68F83104">
            <w:pPr>
              <w:keepNext w:val="0"/>
              <w:keepLines w:val="0"/>
              <w:widowControl/>
              <w:suppressLineNumbers w:val="0"/>
              <w:jc w:val="center"/>
              <w:textAlignment w:val="center"/>
              <w:rPr>
                <w:rFonts w:hint="eastAsia" w:ascii="仿宋" w:hAnsi="仿宋" w:eastAsia="仿宋" w:cs="仿宋"/>
                <w:i w:val="0"/>
                <w:color w:val="auto"/>
                <w:sz w:val="22"/>
                <w:szCs w:val="22"/>
                <w:u w:val="none"/>
                <w:lang w:eastAsia="zh-CN"/>
              </w:rPr>
            </w:pPr>
            <w:r>
              <w:rPr>
                <w:rFonts w:hint="eastAsia" w:ascii="仿宋" w:hAnsi="仿宋" w:eastAsia="仿宋" w:cs="仿宋"/>
                <w:i w:val="0"/>
                <w:color w:val="auto"/>
                <w:sz w:val="22"/>
                <w:szCs w:val="22"/>
                <w:u w:val="none"/>
                <w:lang w:val="en-US" w:eastAsia="zh-CN"/>
              </w:rPr>
              <w:t>综合单</w:t>
            </w:r>
            <w:r>
              <w:rPr>
                <w:rFonts w:hint="eastAsia" w:ascii="仿宋" w:hAnsi="仿宋" w:eastAsia="仿宋" w:cs="仿宋"/>
                <w:i w:val="0"/>
                <w:color w:val="auto"/>
                <w:sz w:val="22"/>
                <w:szCs w:val="22"/>
                <w:u w:val="none"/>
                <w:lang w:eastAsia="zh-CN"/>
              </w:rPr>
              <w:t>价</w:t>
            </w:r>
          </w:p>
        </w:tc>
      </w:tr>
      <w:tr w14:paraId="09E64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409" w:type="pct"/>
            <w:tcBorders>
              <w:top w:val="single" w:color="000000" w:sz="8" w:space="0"/>
              <w:left w:val="single" w:color="000000" w:sz="8" w:space="0"/>
              <w:bottom w:val="single" w:color="000000" w:sz="8" w:space="0"/>
              <w:right w:val="single" w:color="000000" w:sz="8" w:space="0"/>
            </w:tcBorders>
            <w:vAlign w:val="center"/>
          </w:tcPr>
          <w:p w14:paraId="2BEAB37E">
            <w:pPr>
              <w:keepNext w:val="0"/>
              <w:keepLines w:val="0"/>
              <w:widowControl/>
              <w:suppressLineNumbers w:val="0"/>
              <w:jc w:val="center"/>
              <w:textAlignment w:val="center"/>
              <w:rPr>
                <w:rFonts w:hint="default" w:ascii="仿宋" w:hAnsi="仿宋" w:eastAsia="仿宋" w:cs="仿宋"/>
                <w:i w:val="0"/>
                <w:color w:val="auto"/>
                <w:sz w:val="22"/>
                <w:szCs w:val="22"/>
                <w:u w:val="none"/>
                <w:lang w:val="en-US" w:eastAsia="zh-CN"/>
              </w:rPr>
            </w:pPr>
            <w:r>
              <w:rPr>
                <w:rFonts w:hint="eastAsia" w:ascii="仿宋" w:hAnsi="仿宋" w:eastAsia="仿宋" w:cs="仿宋"/>
                <w:i w:val="0"/>
                <w:color w:val="auto"/>
                <w:sz w:val="22"/>
                <w:szCs w:val="22"/>
                <w:u w:val="none"/>
                <w:lang w:val="en-US" w:eastAsia="zh-CN"/>
              </w:rPr>
              <w:t>3</w:t>
            </w:r>
          </w:p>
        </w:tc>
        <w:tc>
          <w:tcPr>
            <w:tcW w:w="1961" w:type="pct"/>
            <w:tcBorders>
              <w:top w:val="single" w:color="000000" w:sz="8" w:space="0"/>
              <w:left w:val="single" w:color="000000" w:sz="8" w:space="0"/>
              <w:bottom w:val="single" w:color="000000" w:sz="8" w:space="0"/>
              <w:right w:val="single" w:color="000000" w:sz="8" w:space="0"/>
            </w:tcBorders>
            <w:vAlign w:val="center"/>
          </w:tcPr>
          <w:p w14:paraId="767EA748">
            <w:pPr>
              <w:pStyle w:val="4"/>
              <w:keepNext w:val="0"/>
              <w:keepLines w:val="0"/>
              <w:widowControl/>
              <w:suppressLineNumbers w:val="0"/>
              <w:spacing w:before="0" w:beforeAutospacing="0" w:after="0" w:afterAutospacing="0"/>
              <w:ind w:left="0" w:right="0" w:firstLine="0"/>
              <w:jc w:val="center"/>
              <w:rPr>
                <w:rFonts w:hint="default" w:ascii="仿宋" w:hAnsi="仿宋" w:eastAsia="仿宋" w:cs="仿宋"/>
                <w:i w:val="0"/>
                <w:color w:val="auto"/>
                <w:kern w:val="0"/>
                <w:sz w:val="22"/>
                <w:szCs w:val="22"/>
                <w:u w:val="none"/>
                <w:lang w:val="en-US" w:eastAsia="zh-CN" w:bidi="ar"/>
              </w:rPr>
            </w:pPr>
            <w:r>
              <w:rPr>
                <w:rFonts w:hint="eastAsia" w:ascii="仿宋" w:hAnsi="仿宋" w:eastAsia="仿宋" w:cs="仿宋"/>
                <w:i w:val="0"/>
                <w:color w:val="auto"/>
                <w:kern w:val="0"/>
                <w:sz w:val="22"/>
                <w:szCs w:val="22"/>
                <w:u w:val="none"/>
                <w:lang w:val="en-US" w:eastAsia="zh-CN" w:bidi="ar"/>
              </w:rPr>
              <w:t>内开内倒窗窗扇五金件更换</w:t>
            </w:r>
          </w:p>
          <w:p w14:paraId="0D5F20A2">
            <w:pPr>
              <w:pStyle w:val="4"/>
              <w:keepNext w:val="0"/>
              <w:keepLines w:val="0"/>
              <w:widowControl/>
              <w:suppressLineNumbers w:val="0"/>
              <w:spacing w:before="0" w:beforeAutospacing="0" w:after="0" w:afterAutospacing="0"/>
              <w:ind w:left="0" w:right="0" w:firstLine="0"/>
              <w:jc w:val="center"/>
              <w:rPr>
                <w:rFonts w:hint="eastAsia" w:ascii="仿宋" w:hAnsi="仿宋" w:eastAsia="仿宋" w:cs="仿宋"/>
                <w:color w:val="auto"/>
                <w:kern w:val="0"/>
                <w:sz w:val="22"/>
                <w:szCs w:val="22"/>
                <w:lang w:val="en-US" w:eastAsia="zh-CN" w:bidi="ar"/>
              </w:rPr>
            </w:pPr>
            <w:r>
              <w:rPr>
                <w:rFonts w:hint="eastAsia" w:ascii="仿宋" w:hAnsi="仿宋" w:eastAsia="仿宋" w:cs="仿宋"/>
                <w:i w:val="0"/>
                <w:color w:val="auto"/>
                <w:kern w:val="0"/>
                <w:sz w:val="22"/>
                <w:szCs w:val="22"/>
                <w:u w:val="none"/>
                <w:lang w:val="en-US" w:eastAsia="zh-CN" w:bidi="ar"/>
              </w:rPr>
              <w:t>（填补旧孔洞，做好成品保护，满足气密性、水密性等各项要求）</w:t>
            </w:r>
          </w:p>
        </w:tc>
        <w:tc>
          <w:tcPr>
            <w:tcW w:w="367" w:type="pct"/>
            <w:tcBorders>
              <w:top w:val="single" w:color="000000" w:sz="8" w:space="0"/>
              <w:left w:val="single" w:color="000000" w:sz="8" w:space="0"/>
              <w:bottom w:val="single" w:color="000000" w:sz="8" w:space="0"/>
              <w:right w:val="single" w:color="000000" w:sz="8" w:space="0"/>
            </w:tcBorders>
            <w:vAlign w:val="center"/>
          </w:tcPr>
          <w:p w14:paraId="50A29E14">
            <w:pPr>
              <w:snapToGrid w:val="0"/>
              <w:spacing w:before="60" w:after="60" w:line="312" w:lineRule="auto"/>
              <w:jc w:val="center"/>
              <w:rPr>
                <w:rFonts w:hint="eastAsia" w:ascii="仿宋" w:hAnsi="仿宋" w:eastAsia="仿宋" w:cs="仿宋"/>
                <w:color w:val="auto"/>
                <w:kern w:val="0"/>
                <w:sz w:val="22"/>
                <w:szCs w:val="22"/>
                <w:lang w:bidi="ar"/>
              </w:rPr>
            </w:pPr>
            <w:r>
              <w:rPr>
                <w:rFonts w:hint="eastAsia" w:ascii="仿宋" w:hAnsi="仿宋" w:eastAsia="仿宋" w:cs="仿宋"/>
                <w:i w:val="0"/>
                <w:color w:val="auto"/>
                <w:kern w:val="0"/>
                <w:sz w:val="22"/>
                <w:szCs w:val="22"/>
                <w:u w:val="none"/>
                <w:lang w:val="en-US" w:eastAsia="zh-CN" w:bidi="ar"/>
              </w:rPr>
              <w:t>扇</w:t>
            </w:r>
          </w:p>
        </w:tc>
        <w:tc>
          <w:tcPr>
            <w:tcW w:w="720" w:type="pct"/>
            <w:tcBorders>
              <w:top w:val="single" w:color="000000" w:sz="8" w:space="0"/>
              <w:left w:val="single" w:color="000000" w:sz="8" w:space="0"/>
              <w:bottom w:val="single" w:color="000000" w:sz="8" w:space="0"/>
              <w:right w:val="single" w:color="000000" w:sz="8" w:space="0"/>
            </w:tcBorders>
            <w:vAlign w:val="center"/>
          </w:tcPr>
          <w:p w14:paraId="64782722">
            <w:pPr>
              <w:keepNext w:val="0"/>
              <w:keepLines w:val="0"/>
              <w:widowControl/>
              <w:suppressLineNumbers w:val="0"/>
              <w:jc w:val="center"/>
              <w:textAlignment w:val="center"/>
              <w:rPr>
                <w:rFonts w:hint="default" w:ascii="仿宋" w:hAnsi="仿宋" w:eastAsia="仿宋" w:cs="仿宋"/>
                <w:i w:val="0"/>
                <w:color w:val="auto"/>
                <w:kern w:val="0"/>
                <w:sz w:val="22"/>
                <w:szCs w:val="22"/>
                <w:u w:val="none"/>
                <w:lang w:val="en-US" w:eastAsia="zh-CN" w:bidi="ar"/>
              </w:rPr>
            </w:pPr>
            <w:r>
              <w:rPr>
                <w:rFonts w:hint="eastAsia" w:ascii="仿宋" w:hAnsi="仿宋" w:eastAsia="仿宋" w:cs="仿宋"/>
                <w:i w:val="0"/>
                <w:color w:val="auto"/>
                <w:kern w:val="0"/>
                <w:sz w:val="22"/>
                <w:szCs w:val="22"/>
                <w:u w:val="none"/>
                <w:lang w:val="en-US" w:eastAsia="zh-CN" w:bidi="ar"/>
              </w:rPr>
              <w:t>160</w:t>
            </w:r>
          </w:p>
        </w:tc>
        <w:tc>
          <w:tcPr>
            <w:tcW w:w="513" w:type="pct"/>
            <w:tcBorders>
              <w:top w:val="single" w:color="000000" w:sz="8" w:space="0"/>
              <w:left w:val="single" w:color="000000" w:sz="8" w:space="0"/>
              <w:bottom w:val="single" w:color="000000" w:sz="8" w:space="0"/>
              <w:right w:val="single" w:color="000000" w:sz="8" w:space="0"/>
            </w:tcBorders>
            <w:vAlign w:val="center"/>
          </w:tcPr>
          <w:p w14:paraId="23A3099E">
            <w:pPr>
              <w:keepNext w:val="0"/>
              <w:keepLines w:val="0"/>
              <w:widowControl/>
              <w:suppressLineNumbers w:val="0"/>
              <w:jc w:val="center"/>
              <w:textAlignment w:val="center"/>
              <w:rPr>
                <w:rFonts w:hint="default" w:ascii="仿宋" w:hAnsi="仿宋" w:eastAsia="仿宋" w:cs="仿宋"/>
                <w:color w:val="auto"/>
                <w:sz w:val="22"/>
                <w:szCs w:val="22"/>
                <w:lang w:val="en-US" w:eastAsia="zh-CN"/>
              </w:rPr>
            </w:pPr>
          </w:p>
        </w:tc>
        <w:tc>
          <w:tcPr>
            <w:tcW w:w="1027" w:type="pct"/>
            <w:tcBorders>
              <w:top w:val="single" w:color="000000" w:sz="8" w:space="0"/>
              <w:left w:val="single" w:color="000000" w:sz="8" w:space="0"/>
              <w:bottom w:val="single" w:color="000000" w:sz="8" w:space="0"/>
              <w:right w:val="single" w:color="000000" w:sz="8" w:space="0"/>
            </w:tcBorders>
            <w:vAlign w:val="center"/>
          </w:tcPr>
          <w:p w14:paraId="24A1CFFA">
            <w:pPr>
              <w:keepNext w:val="0"/>
              <w:keepLines w:val="0"/>
              <w:widowControl/>
              <w:suppressLineNumbers w:val="0"/>
              <w:jc w:val="center"/>
              <w:textAlignment w:val="center"/>
              <w:rPr>
                <w:rFonts w:hint="eastAsia" w:ascii="仿宋" w:hAnsi="仿宋" w:eastAsia="仿宋" w:cs="仿宋"/>
                <w:i w:val="0"/>
                <w:color w:val="auto"/>
                <w:sz w:val="22"/>
                <w:szCs w:val="22"/>
                <w:u w:val="none"/>
                <w:lang w:eastAsia="zh-CN"/>
              </w:rPr>
            </w:pPr>
            <w:r>
              <w:rPr>
                <w:rFonts w:hint="eastAsia" w:ascii="仿宋" w:hAnsi="仿宋" w:eastAsia="仿宋" w:cs="仿宋"/>
                <w:i w:val="0"/>
                <w:color w:val="auto"/>
                <w:sz w:val="22"/>
                <w:szCs w:val="22"/>
                <w:u w:val="none"/>
                <w:lang w:val="en-US" w:eastAsia="zh-CN"/>
              </w:rPr>
              <w:t>综合单</w:t>
            </w:r>
            <w:r>
              <w:rPr>
                <w:rFonts w:hint="eastAsia" w:ascii="仿宋" w:hAnsi="仿宋" w:eastAsia="仿宋" w:cs="仿宋"/>
                <w:i w:val="0"/>
                <w:color w:val="auto"/>
                <w:sz w:val="22"/>
                <w:szCs w:val="22"/>
                <w:u w:val="none"/>
                <w:lang w:eastAsia="zh-CN"/>
              </w:rPr>
              <w:t>价</w:t>
            </w:r>
          </w:p>
        </w:tc>
      </w:tr>
      <w:tr w14:paraId="4ADA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4" w:hRule="atLeast"/>
        </w:trPr>
        <w:tc>
          <w:tcPr>
            <w:tcW w:w="5000" w:type="pct"/>
            <w:gridSpan w:val="6"/>
            <w:tcBorders>
              <w:top w:val="single" w:color="000000" w:sz="8" w:space="0"/>
              <w:left w:val="single" w:color="000000" w:sz="8" w:space="0"/>
              <w:bottom w:val="single" w:color="000000" w:sz="8" w:space="0"/>
              <w:right w:val="single" w:color="000000" w:sz="8" w:space="0"/>
            </w:tcBorders>
            <w:vAlign w:val="center"/>
          </w:tcPr>
          <w:p w14:paraId="50FCC8FF">
            <w:pPr>
              <w:keepNext w:val="0"/>
              <w:keepLines w:val="0"/>
              <w:widowControl/>
              <w:suppressLineNumbers w:val="0"/>
              <w:jc w:val="left"/>
              <w:textAlignment w:val="center"/>
              <w:rPr>
                <w:rFonts w:hint="eastAsia" w:ascii="仿宋" w:hAnsi="仿宋" w:eastAsia="仿宋" w:cs="仿宋"/>
                <w:i w:val="0"/>
                <w:color w:val="auto"/>
                <w:sz w:val="22"/>
                <w:szCs w:val="22"/>
                <w:u w:val="none"/>
                <w:lang w:eastAsia="zh-CN"/>
              </w:rPr>
            </w:pPr>
            <w:bookmarkStart w:id="0" w:name="_GoBack"/>
            <w:bookmarkEnd w:id="0"/>
            <w:r>
              <w:rPr>
                <w:rFonts w:hint="eastAsia" w:ascii="仿宋" w:hAnsi="仿宋" w:eastAsia="仿宋" w:cs="仿宋"/>
                <w:b/>
                <w:bCs/>
                <w:sz w:val="28"/>
                <w:szCs w:val="28"/>
                <w:lang w:val="en-US" w:eastAsia="zh-CN"/>
              </w:rPr>
              <w:t>备注：主要材料设备的投标报价与此表中公示的材料价和设备价格的正偏差不得超过5%，否则中标后发包人可根据公示价格选择材料、设备的品牌及档次标准。采购标准及参数需要以图纸及清单所提标准为基准，不得低于该使用标准</w:t>
            </w:r>
            <w:r>
              <w:rPr>
                <w:rFonts w:hint="eastAsia" w:ascii="仿宋" w:hAnsi="仿宋" w:eastAsia="仿宋" w:cs="仿宋"/>
                <w:b/>
                <w:bCs/>
                <w:sz w:val="28"/>
                <w:szCs w:val="28"/>
                <w:lang w:eastAsia="zh-CN"/>
              </w:rPr>
              <w:t>）</w:t>
            </w:r>
          </w:p>
        </w:tc>
      </w:tr>
    </w:tbl>
    <w:p w14:paraId="040C408A">
      <w:pPr>
        <w:keepNext w:val="0"/>
        <w:keepLines w:val="0"/>
        <w:pageBreakBefore w:val="0"/>
        <w:kinsoku/>
        <w:wordWrap/>
        <w:overflowPunct/>
        <w:topLinePunct w:val="0"/>
        <w:autoSpaceDE/>
        <w:autoSpaceDN/>
        <w:bidi w:val="0"/>
        <w:adjustRightInd/>
        <w:snapToGrid/>
        <w:spacing w:line="360" w:lineRule="auto"/>
        <w:jc w:val="right"/>
        <w:textAlignment w:val="auto"/>
        <w:rPr>
          <w:rFonts w:hint="eastAsia" w:ascii="仿宋" w:hAnsi="仿宋" w:eastAsia="仿宋" w:cs="仿宋"/>
          <w:sz w:val="32"/>
          <w:szCs w:val="32"/>
          <w:lang w:eastAsia="zh-CN"/>
        </w:rPr>
      </w:pPr>
    </w:p>
    <w:sectPr>
      <w:footerReference r:id="rId3" w:type="default"/>
      <w:pgSz w:w="11906" w:h="16838"/>
      <w:pgMar w:top="680" w:right="1269" w:bottom="850" w:left="117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928A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465B8">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2E465B8">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4NTRiOTkwOGI0NmVkMTM0NTJkMjVmNmY2YTQ5YzIifQ=="/>
  </w:docVars>
  <w:rsids>
    <w:rsidRoot w:val="78C44E4C"/>
    <w:rsid w:val="002251AD"/>
    <w:rsid w:val="0041581A"/>
    <w:rsid w:val="009550EE"/>
    <w:rsid w:val="014464DA"/>
    <w:rsid w:val="01B6044B"/>
    <w:rsid w:val="022049ED"/>
    <w:rsid w:val="026D5C3B"/>
    <w:rsid w:val="027E380D"/>
    <w:rsid w:val="02D1328F"/>
    <w:rsid w:val="03991DF6"/>
    <w:rsid w:val="045135B1"/>
    <w:rsid w:val="049C18AD"/>
    <w:rsid w:val="05924C44"/>
    <w:rsid w:val="059E280D"/>
    <w:rsid w:val="05B1208A"/>
    <w:rsid w:val="05EC12C0"/>
    <w:rsid w:val="06652463"/>
    <w:rsid w:val="06C121B2"/>
    <w:rsid w:val="06F55021"/>
    <w:rsid w:val="07095A58"/>
    <w:rsid w:val="0780302B"/>
    <w:rsid w:val="07B00AF5"/>
    <w:rsid w:val="07DD43CD"/>
    <w:rsid w:val="08085C57"/>
    <w:rsid w:val="081A3E22"/>
    <w:rsid w:val="087E0618"/>
    <w:rsid w:val="093E7ACF"/>
    <w:rsid w:val="096864F1"/>
    <w:rsid w:val="097739DE"/>
    <w:rsid w:val="09B73163"/>
    <w:rsid w:val="09DC347A"/>
    <w:rsid w:val="0AA8578D"/>
    <w:rsid w:val="0ADF4AAA"/>
    <w:rsid w:val="0AE0655C"/>
    <w:rsid w:val="0B70484F"/>
    <w:rsid w:val="0B7F5BC7"/>
    <w:rsid w:val="0C013D51"/>
    <w:rsid w:val="0C105683"/>
    <w:rsid w:val="0C2B236B"/>
    <w:rsid w:val="0C3C4C12"/>
    <w:rsid w:val="0C554F12"/>
    <w:rsid w:val="0C6C4A88"/>
    <w:rsid w:val="0CFA1B57"/>
    <w:rsid w:val="0D112C29"/>
    <w:rsid w:val="0D690E2A"/>
    <w:rsid w:val="0DA91770"/>
    <w:rsid w:val="0DE618EB"/>
    <w:rsid w:val="0E096268"/>
    <w:rsid w:val="0EC9413D"/>
    <w:rsid w:val="0EF31B17"/>
    <w:rsid w:val="0EF51B51"/>
    <w:rsid w:val="0F050705"/>
    <w:rsid w:val="0F7B5255"/>
    <w:rsid w:val="0F8A1B84"/>
    <w:rsid w:val="10045682"/>
    <w:rsid w:val="10111073"/>
    <w:rsid w:val="10B14351"/>
    <w:rsid w:val="10F92232"/>
    <w:rsid w:val="113640E6"/>
    <w:rsid w:val="11410FC5"/>
    <w:rsid w:val="1151575F"/>
    <w:rsid w:val="11737A36"/>
    <w:rsid w:val="118E1BFB"/>
    <w:rsid w:val="11C90C38"/>
    <w:rsid w:val="12D152A6"/>
    <w:rsid w:val="13591D0D"/>
    <w:rsid w:val="138D078D"/>
    <w:rsid w:val="151C4D37"/>
    <w:rsid w:val="153402FB"/>
    <w:rsid w:val="160E3046"/>
    <w:rsid w:val="161E4BD3"/>
    <w:rsid w:val="16623DBD"/>
    <w:rsid w:val="16801CD6"/>
    <w:rsid w:val="16B5191F"/>
    <w:rsid w:val="16C52509"/>
    <w:rsid w:val="1748342C"/>
    <w:rsid w:val="17EE2964"/>
    <w:rsid w:val="182F1363"/>
    <w:rsid w:val="1837112C"/>
    <w:rsid w:val="183D5DB4"/>
    <w:rsid w:val="190A3122"/>
    <w:rsid w:val="19454954"/>
    <w:rsid w:val="194F322A"/>
    <w:rsid w:val="19C07DB8"/>
    <w:rsid w:val="1A363FEA"/>
    <w:rsid w:val="1A543308"/>
    <w:rsid w:val="1A5F697C"/>
    <w:rsid w:val="1A6C3968"/>
    <w:rsid w:val="1AD5775F"/>
    <w:rsid w:val="1B4755A2"/>
    <w:rsid w:val="1B7C55A6"/>
    <w:rsid w:val="1B8F3183"/>
    <w:rsid w:val="1BE321FF"/>
    <w:rsid w:val="1BE57629"/>
    <w:rsid w:val="1C1B3859"/>
    <w:rsid w:val="1C541FAB"/>
    <w:rsid w:val="1CB52CBE"/>
    <w:rsid w:val="1CCC0D35"/>
    <w:rsid w:val="1CD31A7D"/>
    <w:rsid w:val="1CE85FA5"/>
    <w:rsid w:val="1E212096"/>
    <w:rsid w:val="1E6A01BF"/>
    <w:rsid w:val="1F26058A"/>
    <w:rsid w:val="1F30420E"/>
    <w:rsid w:val="1F910CF7"/>
    <w:rsid w:val="1FCA360B"/>
    <w:rsid w:val="1FD17A22"/>
    <w:rsid w:val="20531B9F"/>
    <w:rsid w:val="207D5E64"/>
    <w:rsid w:val="20DD72FF"/>
    <w:rsid w:val="21045435"/>
    <w:rsid w:val="212062B8"/>
    <w:rsid w:val="21396750"/>
    <w:rsid w:val="21E901E5"/>
    <w:rsid w:val="21EC3153"/>
    <w:rsid w:val="22436610"/>
    <w:rsid w:val="225A2AED"/>
    <w:rsid w:val="230F06DB"/>
    <w:rsid w:val="23645B24"/>
    <w:rsid w:val="238017A3"/>
    <w:rsid w:val="23901B0B"/>
    <w:rsid w:val="23AD469F"/>
    <w:rsid w:val="24537052"/>
    <w:rsid w:val="24BC49C0"/>
    <w:rsid w:val="25E533B9"/>
    <w:rsid w:val="25F744D9"/>
    <w:rsid w:val="26B67465"/>
    <w:rsid w:val="2711233E"/>
    <w:rsid w:val="27223C24"/>
    <w:rsid w:val="272B2FF7"/>
    <w:rsid w:val="28797502"/>
    <w:rsid w:val="28C7684D"/>
    <w:rsid w:val="28D671F7"/>
    <w:rsid w:val="28F95E9C"/>
    <w:rsid w:val="296F49C1"/>
    <w:rsid w:val="298D6018"/>
    <w:rsid w:val="29CB7425"/>
    <w:rsid w:val="2A111E36"/>
    <w:rsid w:val="2AEA62BD"/>
    <w:rsid w:val="2B01748F"/>
    <w:rsid w:val="2BE70C73"/>
    <w:rsid w:val="2C5E2660"/>
    <w:rsid w:val="2C627A53"/>
    <w:rsid w:val="2C9568A8"/>
    <w:rsid w:val="2CEC5318"/>
    <w:rsid w:val="2D0A715E"/>
    <w:rsid w:val="2D5824D7"/>
    <w:rsid w:val="2D7E6726"/>
    <w:rsid w:val="2DE435CA"/>
    <w:rsid w:val="2EC76F67"/>
    <w:rsid w:val="2ECC1D81"/>
    <w:rsid w:val="2F44737C"/>
    <w:rsid w:val="2F4A0EAD"/>
    <w:rsid w:val="30973EB8"/>
    <w:rsid w:val="30AB3992"/>
    <w:rsid w:val="31523A9B"/>
    <w:rsid w:val="3186135C"/>
    <w:rsid w:val="31B76CB2"/>
    <w:rsid w:val="32851B1A"/>
    <w:rsid w:val="33DB3D3B"/>
    <w:rsid w:val="343B2241"/>
    <w:rsid w:val="34460436"/>
    <w:rsid w:val="347541FE"/>
    <w:rsid w:val="34AB3AAA"/>
    <w:rsid w:val="35B94598"/>
    <w:rsid w:val="35C2373A"/>
    <w:rsid w:val="365748C2"/>
    <w:rsid w:val="36D24266"/>
    <w:rsid w:val="37500316"/>
    <w:rsid w:val="37DC44F4"/>
    <w:rsid w:val="38103E83"/>
    <w:rsid w:val="381D0109"/>
    <w:rsid w:val="38AC78FA"/>
    <w:rsid w:val="39033292"/>
    <w:rsid w:val="390A1FBC"/>
    <w:rsid w:val="3995135A"/>
    <w:rsid w:val="39AD4EAA"/>
    <w:rsid w:val="39D02B2E"/>
    <w:rsid w:val="3A4329CB"/>
    <w:rsid w:val="3ABE187E"/>
    <w:rsid w:val="3AE933E0"/>
    <w:rsid w:val="3B5E744B"/>
    <w:rsid w:val="3B6461E4"/>
    <w:rsid w:val="3BDC4AFB"/>
    <w:rsid w:val="3CA46F0C"/>
    <w:rsid w:val="3D2B75ED"/>
    <w:rsid w:val="3D7B2AA2"/>
    <w:rsid w:val="3D9D0B53"/>
    <w:rsid w:val="3E010915"/>
    <w:rsid w:val="3E416A82"/>
    <w:rsid w:val="3E473BF6"/>
    <w:rsid w:val="3E475EE3"/>
    <w:rsid w:val="3EA453B3"/>
    <w:rsid w:val="3EFE414B"/>
    <w:rsid w:val="3F3131D2"/>
    <w:rsid w:val="41005ABB"/>
    <w:rsid w:val="410B3981"/>
    <w:rsid w:val="418B7181"/>
    <w:rsid w:val="41A70C1C"/>
    <w:rsid w:val="41EA4FD0"/>
    <w:rsid w:val="41F55EC4"/>
    <w:rsid w:val="42A27883"/>
    <w:rsid w:val="42B24BAD"/>
    <w:rsid w:val="42DA63F2"/>
    <w:rsid w:val="433B78D4"/>
    <w:rsid w:val="433D4416"/>
    <w:rsid w:val="44446C38"/>
    <w:rsid w:val="44531C67"/>
    <w:rsid w:val="45446BC0"/>
    <w:rsid w:val="45CD4955"/>
    <w:rsid w:val="45F3557E"/>
    <w:rsid w:val="45FC7C2C"/>
    <w:rsid w:val="461B703B"/>
    <w:rsid w:val="46216177"/>
    <w:rsid w:val="4635048C"/>
    <w:rsid w:val="467B74E1"/>
    <w:rsid w:val="46E650A4"/>
    <w:rsid w:val="475C68DE"/>
    <w:rsid w:val="4781753E"/>
    <w:rsid w:val="47985021"/>
    <w:rsid w:val="47B23565"/>
    <w:rsid w:val="487A5606"/>
    <w:rsid w:val="48AA3747"/>
    <w:rsid w:val="48F366F5"/>
    <w:rsid w:val="491072CC"/>
    <w:rsid w:val="49375FF7"/>
    <w:rsid w:val="49491F05"/>
    <w:rsid w:val="49A5461D"/>
    <w:rsid w:val="49AA1C33"/>
    <w:rsid w:val="4A396129"/>
    <w:rsid w:val="4A8C102D"/>
    <w:rsid w:val="4ACC4543"/>
    <w:rsid w:val="4AEE0735"/>
    <w:rsid w:val="4AF82EFE"/>
    <w:rsid w:val="4B4E1E78"/>
    <w:rsid w:val="4B8E2E8F"/>
    <w:rsid w:val="4BAD064B"/>
    <w:rsid w:val="4BD3726E"/>
    <w:rsid w:val="4BDA6B1C"/>
    <w:rsid w:val="4C2B56A1"/>
    <w:rsid w:val="4C3B3017"/>
    <w:rsid w:val="4C5E233E"/>
    <w:rsid w:val="4C807CB5"/>
    <w:rsid w:val="4D1820A0"/>
    <w:rsid w:val="4DEC0EE3"/>
    <w:rsid w:val="4E326839"/>
    <w:rsid w:val="4E9B3304"/>
    <w:rsid w:val="4EA93B36"/>
    <w:rsid w:val="4EF5384B"/>
    <w:rsid w:val="4F1339B6"/>
    <w:rsid w:val="4F215BA7"/>
    <w:rsid w:val="4F385E57"/>
    <w:rsid w:val="4F3A40D9"/>
    <w:rsid w:val="4F471793"/>
    <w:rsid w:val="4F8446B1"/>
    <w:rsid w:val="4FF23DF7"/>
    <w:rsid w:val="501356D4"/>
    <w:rsid w:val="50EC59C5"/>
    <w:rsid w:val="510A5D9D"/>
    <w:rsid w:val="517E3070"/>
    <w:rsid w:val="519F6C6C"/>
    <w:rsid w:val="51BF7A34"/>
    <w:rsid w:val="51C361D9"/>
    <w:rsid w:val="52B6186F"/>
    <w:rsid w:val="534F29DC"/>
    <w:rsid w:val="53AF0CB5"/>
    <w:rsid w:val="54163485"/>
    <w:rsid w:val="543A1DFF"/>
    <w:rsid w:val="54525640"/>
    <w:rsid w:val="547A16C0"/>
    <w:rsid w:val="548312ED"/>
    <w:rsid w:val="54E2248D"/>
    <w:rsid w:val="54E460D2"/>
    <w:rsid w:val="54F86E70"/>
    <w:rsid w:val="54FF492F"/>
    <w:rsid w:val="551E7693"/>
    <w:rsid w:val="553845A5"/>
    <w:rsid w:val="55757711"/>
    <w:rsid w:val="55D47525"/>
    <w:rsid w:val="5616651D"/>
    <w:rsid w:val="561936FA"/>
    <w:rsid w:val="5650224A"/>
    <w:rsid w:val="56CE4111"/>
    <w:rsid w:val="56DF1AA6"/>
    <w:rsid w:val="56F15745"/>
    <w:rsid w:val="57AB007F"/>
    <w:rsid w:val="57EE7EE5"/>
    <w:rsid w:val="58996F62"/>
    <w:rsid w:val="593559A8"/>
    <w:rsid w:val="59617042"/>
    <w:rsid w:val="59B6534A"/>
    <w:rsid w:val="5AF77287"/>
    <w:rsid w:val="5B2C7B9B"/>
    <w:rsid w:val="5B3A5482"/>
    <w:rsid w:val="5BBF052C"/>
    <w:rsid w:val="5C661A7D"/>
    <w:rsid w:val="5D2F5053"/>
    <w:rsid w:val="5D4C3FEA"/>
    <w:rsid w:val="5D5E16FE"/>
    <w:rsid w:val="5DB9183A"/>
    <w:rsid w:val="5DEA4DF7"/>
    <w:rsid w:val="5F303D09"/>
    <w:rsid w:val="5F611D1E"/>
    <w:rsid w:val="5F643CE0"/>
    <w:rsid w:val="5FAE6821"/>
    <w:rsid w:val="5FD426B7"/>
    <w:rsid w:val="60016CCB"/>
    <w:rsid w:val="600D4872"/>
    <w:rsid w:val="60756978"/>
    <w:rsid w:val="60A642AF"/>
    <w:rsid w:val="60D4713E"/>
    <w:rsid w:val="60DC2450"/>
    <w:rsid w:val="60E05B3D"/>
    <w:rsid w:val="615F482E"/>
    <w:rsid w:val="61AD018D"/>
    <w:rsid w:val="62005C63"/>
    <w:rsid w:val="62234A74"/>
    <w:rsid w:val="62323F97"/>
    <w:rsid w:val="62837FC7"/>
    <w:rsid w:val="62AD115F"/>
    <w:rsid w:val="62C10E48"/>
    <w:rsid w:val="62D24B20"/>
    <w:rsid w:val="630D48B7"/>
    <w:rsid w:val="63F62145"/>
    <w:rsid w:val="640A7C53"/>
    <w:rsid w:val="648C05E0"/>
    <w:rsid w:val="648C220A"/>
    <w:rsid w:val="64B52C71"/>
    <w:rsid w:val="64CB3001"/>
    <w:rsid w:val="65364665"/>
    <w:rsid w:val="653707B4"/>
    <w:rsid w:val="65563222"/>
    <w:rsid w:val="655959F7"/>
    <w:rsid w:val="657F58CB"/>
    <w:rsid w:val="658265C7"/>
    <w:rsid w:val="659C0AFB"/>
    <w:rsid w:val="65CC6842"/>
    <w:rsid w:val="664605ED"/>
    <w:rsid w:val="6683129E"/>
    <w:rsid w:val="6752567A"/>
    <w:rsid w:val="677D276D"/>
    <w:rsid w:val="67887BFA"/>
    <w:rsid w:val="679E2A06"/>
    <w:rsid w:val="67A205F5"/>
    <w:rsid w:val="67D77BCE"/>
    <w:rsid w:val="67E40916"/>
    <w:rsid w:val="67E75351"/>
    <w:rsid w:val="680A32D3"/>
    <w:rsid w:val="681F4C10"/>
    <w:rsid w:val="683145E0"/>
    <w:rsid w:val="68F74901"/>
    <w:rsid w:val="68FC7232"/>
    <w:rsid w:val="690E4985"/>
    <w:rsid w:val="692E4967"/>
    <w:rsid w:val="694E3F32"/>
    <w:rsid w:val="697C5BAE"/>
    <w:rsid w:val="69821E2D"/>
    <w:rsid w:val="69E81C5B"/>
    <w:rsid w:val="6A701C86"/>
    <w:rsid w:val="6AE63945"/>
    <w:rsid w:val="6B28106D"/>
    <w:rsid w:val="6B2974EE"/>
    <w:rsid w:val="6B4A0E75"/>
    <w:rsid w:val="6BD14A70"/>
    <w:rsid w:val="6C775DEA"/>
    <w:rsid w:val="6CD82AB0"/>
    <w:rsid w:val="6D682B98"/>
    <w:rsid w:val="6DD6256A"/>
    <w:rsid w:val="6E234016"/>
    <w:rsid w:val="6E5E0AF2"/>
    <w:rsid w:val="6E8E48C5"/>
    <w:rsid w:val="6F2927AF"/>
    <w:rsid w:val="6F38141A"/>
    <w:rsid w:val="6F7A6A50"/>
    <w:rsid w:val="6F7D50AB"/>
    <w:rsid w:val="6FFA7D14"/>
    <w:rsid w:val="70035BFE"/>
    <w:rsid w:val="70182BA3"/>
    <w:rsid w:val="70451231"/>
    <w:rsid w:val="71414E5C"/>
    <w:rsid w:val="717D7256"/>
    <w:rsid w:val="71A968C7"/>
    <w:rsid w:val="721C363A"/>
    <w:rsid w:val="72855240"/>
    <w:rsid w:val="72E264D7"/>
    <w:rsid w:val="731E2B97"/>
    <w:rsid w:val="73397374"/>
    <w:rsid w:val="736E1587"/>
    <w:rsid w:val="7497286F"/>
    <w:rsid w:val="74D70892"/>
    <w:rsid w:val="750E73C4"/>
    <w:rsid w:val="751D3D93"/>
    <w:rsid w:val="75730F30"/>
    <w:rsid w:val="75C26FAB"/>
    <w:rsid w:val="75E10342"/>
    <w:rsid w:val="76980204"/>
    <w:rsid w:val="76F26DD7"/>
    <w:rsid w:val="78423333"/>
    <w:rsid w:val="78607595"/>
    <w:rsid w:val="78C44E4C"/>
    <w:rsid w:val="79027264"/>
    <w:rsid w:val="7934036D"/>
    <w:rsid w:val="79840B0F"/>
    <w:rsid w:val="7A9B31D3"/>
    <w:rsid w:val="7AA25A60"/>
    <w:rsid w:val="7B102AEB"/>
    <w:rsid w:val="7B5F429A"/>
    <w:rsid w:val="7CD74497"/>
    <w:rsid w:val="7D2C0F6C"/>
    <w:rsid w:val="7DBD2A81"/>
    <w:rsid w:val="7E306A04"/>
    <w:rsid w:val="7E365B56"/>
    <w:rsid w:val="7E605A20"/>
    <w:rsid w:val="7EAB0D7F"/>
    <w:rsid w:val="7EBC224C"/>
    <w:rsid w:val="7ECA5482"/>
    <w:rsid w:val="7F0535AC"/>
    <w:rsid w:val="7F2D445D"/>
    <w:rsid w:val="7F5112E0"/>
    <w:rsid w:val="7F557208"/>
    <w:rsid w:val="7FB34386"/>
    <w:rsid w:val="7FEC1DA9"/>
    <w:rsid w:val="7FF11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51"/>
    <w:basedOn w:val="7"/>
    <w:qFormat/>
    <w:uiPriority w:val="0"/>
    <w:rPr>
      <w:rFonts w:hint="eastAsia" w:ascii="仿宋" w:hAnsi="仿宋" w:eastAsia="仿宋" w:cs="仿宋"/>
      <w:color w:val="000000"/>
      <w:sz w:val="22"/>
      <w:szCs w:val="22"/>
      <w:u w:val="none"/>
    </w:rPr>
  </w:style>
  <w:style w:type="character" w:customStyle="1" w:styleId="9">
    <w:name w:val="font21"/>
    <w:basedOn w:val="7"/>
    <w:qFormat/>
    <w:uiPriority w:val="0"/>
    <w:rPr>
      <w:rFonts w:hint="eastAsia" w:ascii="宋体" w:hAnsi="宋体" w:eastAsia="宋体" w:cs="宋体"/>
      <w:color w:val="000000"/>
      <w:sz w:val="22"/>
      <w:szCs w:val="22"/>
      <w:u w:val="none"/>
    </w:rPr>
  </w:style>
  <w:style w:type="character" w:customStyle="1" w:styleId="10">
    <w:name w:val="font11"/>
    <w:basedOn w:val="7"/>
    <w:qFormat/>
    <w:uiPriority w:val="0"/>
    <w:rPr>
      <w:rFonts w:ascii="Arial" w:hAnsi="Arial" w:cs="Arial"/>
      <w:color w:val="000000"/>
      <w:sz w:val="22"/>
      <w:szCs w:val="22"/>
      <w:u w:val="none"/>
    </w:rPr>
  </w:style>
  <w:style w:type="character" w:customStyle="1" w:styleId="11">
    <w:name w:val="font41"/>
    <w:basedOn w:val="7"/>
    <w:qFormat/>
    <w:uiPriority w:val="0"/>
    <w:rPr>
      <w:rFonts w:hint="eastAsia" w:ascii="仿宋" w:hAnsi="仿宋" w:eastAsia="仿宋" w:cs="仿宋"/>
      <w:color w:val="000000"/>
      <w:sz w:val="22"/>
      <w:szCs w:val="22"/>
      <w:u w:val="none"/>
    </w:rPr>
  </w:style>
  <w:style w:type="character" w:customStyle="1" w:styleId="12">
    <w:name w:val="font01"/>
    <w:basedOn w:val="7"/>
    <w:qFormat/>
    <w:uiPriority w:val="0"/>
    <w:rPr>
      <w:rFonts w:ascii="Arial" w:hAnsi="Arial" w:cs="Arial"/>
      <w:color w:val="000000"/>
      <w:sz w:val="22"/>
      <w:szCs w:val="22"/>
      <w:u w:val="none"/>
    </w:rPr>
  </w:style>
  <w:style w:type="character" w:customStyle="1" w:styleId="13">
    <w:name w:val="font61"/>
    <w:basedOn w:val="7"/>
    <w:qFormat/>
    <w:uiPriority w:val="0"/>
    <w:rPr>
      <w:rFonts w:hint="eastAsia" w:ascii="仿宋" w:hAnsi="仿宋" w:eastAsia="仿宋" w:cs="仿宋"/>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1351</Words>
  <Characters>1472</Characters>
  <Lines>0</Lines>
  <Paragraphs>0</Paragraphs>
  <TotalTime>38</TotalTime>
  <ScaleCrop>false</ScaleCrop>
  <LinksUpToDate>false</LinksUpToDate>
  <CharactersWithSpaces>1482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2019-08-30T05:37:00Z</dcterms:created>
  <dc:creator>王婷</dc:creator>
  <cp:lastModifiedBy>  别说再见，</cp:lastModifiedBy>
  <cp:lastPrinted>2022-11-30T01:45:00Z</cp:lastPrinted>
  <dcterms:modified xsi:type="dcterms:W3CDTF">2025-07-21T09:57:16Z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5BE6AAAAD3C345E8A527B13FC62CD834_13</vt:lpwstr>
  </property>
  <property fmtid="{D5CDD505-2E9C-101B-9397-08002B2CF9AE}" pid="4" name="KSOTemplateDocerSaveRecord">
    <vt:lpwstr>eyJoZGlkIjoiMmM0MzAyYTU2MzU1MTljMGZmYTczZDlmZDY2NDQzYzIiLCJ1c2VySWQiOiIzODk1ODAyNzMifQ==</vt:lpwstr>
  </property>
</Properties>
</file>