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580" w:type="dxa"/>
        <w:tblInd w:w="0" w:type="dxa"/>
        <w:tblLayout w:type="autofit"/>
        <w:tblCellMar>
          <w:top w:w="0" w:type="dxa"/>
          <w:left w:w="108" w:type="dxa"/>
          <w:bottom w:w="0" w:type="dxa"/>
          <w:right w:w="108" w:type="dxa"/>
        </w:tblCellMar>
      </w:tblPr>
      <w:tblGrid>
        <w:gridCol w:w="520"/>
        <w:gridCol w:w="756"/>
        <w:gridCol w:w="8264"/>
        <w:gridCol w:w="520"/>
        <w:gridCol w:w="520"/>
      </w:tblGrid>
      <w:tr w14:paraId="52BBE5BF">
        <w:tblPrEx>
          <w:tblCellMar>
            <w:top w:w="0" w:type="dxa"/>
            <w:left w:w="108" w:type="dxa"/>
            <w:bottom w:w="0" w:type="dxa"/>
            <w:right w:w="108" w:type="dxa"/>
          </w:tblCellMar>
        </w:tblPrEx>
        <w:trPr>
          <w:trHeight w:val="420" w:hRule="atLeast"/>
        </w:trPr>
        <w:tc>
          <w:tcPr>
            <w:tcW w:w="10580" w:type="dxa"/>
            <w:gridSpan w:val="5"/>
            <w:tcBorders>
              <w:top w:val="nil"/>
              <w:left w:val="nil"/>
              <w:bottom w:val="nil"/>
              <w:right w:val="nil"/>
            </w:tcBorders>
            <w:shd w:val="clear" w:color="000000" w:fill="FFFFFF"/>
            <w:noWrap/>
            <w:vAlign w:val="center"/>
          </w:tcPr>
          <w:p w14:paraId="35A23DD9">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幼儿保育实训室建设项目招标参数</w:t>
            </w:r>
          </w:p>
        </w:tc>
      </w:tr>
      <w:tr w14:paraId="37FA4936">
        <w:tblPrEx>
          <w:tblCellMar>
            <w:top w:w="0" w:type="dxa"/>
            <w:left w:w="108" w:type="dxa"/>
            <w:bottom w:w="0" w:type="dxa"/>
            <w:right w:w="108" w:type="dxa"/>
          </w:tblCellMar>
        </w:tblPrEx>
        <w:trPr>
          <w:trHeight w:val="420" w:hRule="atLeast"/>
        </w:trPr>
        <w:tc>
          <w:tcPr>
            <w:tcW w:w="520" w:type="dxa"/>
            <w:tcBorders>
              <w:top w:val="single" w:color="auto" w:sz="4" w:space="0"/>
              <w:left w:val="single" w:color="auto" w:sz="4" w:space="0"/>
              <w:bottom w:val="single" w:color="auto" w:sz="4" w:space="0"/>
              <w:right w:val="single" w:color="auto" w:sz="4" w:space="0"/>
            </w:tcBorders>
            <w:shd w:val="clear" w:color="000000" w:fill="FF0000"/>
            <w:vAlign w:val="center"/>
          </w:tcPr>
          <w:p w14:paraId="2B1BF777">
            <w:pPr>
              <w:widowControl/>
              <w:jc w:val="center"/>
              <w:rPr>
                <w:rFonts w:hint="eastAsia" w:ascii="宋体" w:hAnsi="宋体" w:eastAsia="宋体" w:cs="宋体"/>
                <w:b/>
                <w:bCs/>
                <w:color w:val="FFFFFF"/>
                <w:kern w:val="0"/>
                <w:sz w:val="18"/>
                <w:szCs w:val="18"/>
              </w:rPr>
            </w:pPr>
            <w:r>
              <w:rPr>
                <w:rFonts w:hint="eastAsia" w:ascii="宋体" w:hAnsi="宋体" w:eastAsia="宋体" w:cs="宋体"/>
                <w:b/>
                <w:bCs/>
                <w:color w:val="FFFFFF"/>
                <w:kern w:val="0"/>
                <w:sz w:val="18"/>
                <w:szCs w:val="18"/>
              </w:rPr>
              <w:t>序号</w:t>
            </w:r>
          </w:p>
        </w:tc>
        <w:tc>
          <w:tcPr>
            <w:tcW w:w="756" w:type="dxa"/>
            <w:tcBorders>
              <w:top w:val="single" w:color="auto" w:sz="4" w:space="0"/>
              <w:left w:val="nil"/>
              <w:bottom w:val="single" w:color="auto" w:sz="4" w:space="0"/>
              <w:right w:val="single" w:color="auto" w:sz="4" w:space="0"/>
            </w:tcBorders>
            <w:shd w:val="clear" w:color="000000" w:fill="FF0000"/>
            <w:vAlign w:val="center"/>
          </w:tcPr>
          <w:p w14:paraId="03718B69">
            <w:pPr>
              <w:widowControl/>
              <w:jc w:val="center"/>
              <w:rPr>
                <w:rFonts w:hint="eastAsia" w:ascii="宋体" w:hAnsi="宋体" w:eastAsia="宋体" w:cs="宋体"/>
                <w:b/>
                <w:bCs/>
                <w:color w:val="FFFFFF"/>
                <w:kern w:val="0"/>
                <w:sz w:val="18"/>
                <w:szCs w:val="18"/>
              </w:rPr>
            </w:pPr>
            <w:r>
              <w:rPr>
                <w:rFonts w:hint="eastAsia" w:ascii="宋体" w:hAnsi="宋体" w:eastAsia="宋体" w:cs="宋体"/>
                <w:b/>
                <w:bCs/>
                <w:color w:val="FFFFFF"/>
                <w:kern w:val="0"/>
                <w:sz w:val="18"/>
                <w:szCs w:val="18"/>
              </w:rPr>
              <w:t>产品名称</w:t>
            </w:r>
          </w:p>
        </w:tc>
        <w:tc>
          <w:tcPr>
            <w:tcW w:w="8264" w:type="dxa"/>
            <w:tcBorders>
              <w:top w:val="single" w:color="auto" w:sz="4" w:space="0"/>
              <w:left w:val="nil"/>
              <w:bottom w:val="single" w:color="auto" w:sz="4" w:space="0"/>
              <w:right w:val="single" w:color="auto" w:sz="4" w:space="0"/>
            </w:tcBorders>
            <w:shd w:val="clear" w:color="000000" w:fill="FF0000"/>
            <w:vAlign w:val="center"/>
          </w:tcPr>
          <w:p w14:paraId="1CFD6164">
            <w:pPr>
              <w:widowControl/>
              <w:jc w:val="center"/>
              <w:rPr>
                <w:rFonts w:hint="eastAsia" w:ascii="宋体" w:hAnsi="宋体" w:eastAsia="宋体" w:cs="宋体"/>
                <w:b/>
                <w:bCs/>
                <w:color w:val="FFFFFF"/>
                <w:kern w:val="0"/>
                <w:sz w:val="18"/>
                <w:szCs w:val="18"/>
              </w:rPr>
            </w:pPr>
            <w:r>
              <w:rPr>
                <w:rFonts w:hint="eastAsia" w:ascii="宋体" w:hAnsi="宋体" w:eastAsia="宋体" w:cs="宋体"/>
                <w:b/>
                <w:bCs/>
                <w:color w:val="FFFFFF"/>
                <w:kern w:val="0"/>
                <w:sz w:val="18"/>
                <w:szCs w:val="18"/>
              </w:rPr>
              <w:t>参数</w:t>
            </w:r>
          </w:p>
        </w:tc>
        <w:tc>
          <w:tcPr>
            <w:tcW w:w="520" w:type="dxa"/>
            <w:tcBorders>
              <w:top w:val="single" w:color="auto" w:sz="4" w:space="0"/>
              <w:left w:val="nil"/>
              <w:bottom w:val="single" w:color="auto" w:sz="4" w:space="0"/>
              <w:right w:val="single" w:color="auto" w:sz="4" w:space="0"/>
            </w:tcBorders>
            <w:shd w:val="clear" w:color="000000" w:fill="FF0000"/>
            <w:vAlign w:val="center"/>
          </w:tcPr>
          <w:p w14:paraId="4765206C">
            <w:pPr>
              <w:widowControl/>
              <w:jc w:val="center"/>
              <w:rPr>
                <w:rFonts w:hint="eastAsia" w:ascii="宋体" w:hAnsi="宋体" w:eastAsia="宋体" w:cs="宋体"/>
                <w:b/>
                <w:bCs/>
                <w:color w:val="FFFFFF"/>
                <w:kern w:val="0"/>
                <w:sz w:val="18"/>
                <w:szCs w:val="18"/>
              </w:rPr>
            </w:pPr>
            <w:r>
              <w:rPr>
                <w:rFonts w:hint="eastAsia" w:ascii="宋体" w:hAnsi="宋体" w:eastAsia="宋体" w:cs="宋体"/>
                <w:b/>
                <w:bCs/>
                <w:color w:val="FFFFFF"/>
                <w:kern w:val="0"/>
                <w:sz w:val="18"/>
                <w:szCs w:val="18"/>
              </w:rPr>
              <w:t>数量</w:t>
            </w:r>
          </w:p>
        </w:tc>
        <w:tc>
          <w:tcPr>
            <w:tcW w:w="520" w:type="dxa"/>
            <w:tcBorders>
              <w:top w:val="single" w:color="auto" w:sz="4" w:space="0"/>
              <w:left w:val="nil"/>
              <w:bottom w:val="single" w:color="auto" w:sz="4" w:space="0"/>
              <w:right w:val="single" w:color="auto" w:sz="4" w:space="0"/>
            </w:tcBorders>
            <w:shd w:val="clear" w:color="000000" w:fill="FF0000"/>
            <w:vAlign w:val="center"/>
          </w:tcPr>
          <w:p w14:paraId="563B5DC5">
            <w:pPr>
              <w:widowControl/>
              <w:jc w:val="center"/>
              <w:rPr>
                <w:rFonts w:hint="eastAsia" w:ascii="宋体" w:hAnsi="宋体" w:eastAsia="宋体" w:cs="宋体"/>
                <w:b/>
                <w:bCs/>
                <w:color w:val="FFFFFF"/>
                <w:kern w:val="0"/>
                <w:sz w:val="18"/>
                <w:szCs w:val="18"/>
              </w:rPr>
            </w:pPr>
            <w:r>
              <w:rPr>
                <w:rFonts w:hint="eastAsia" w:ascii="宋体" w:hAnsi="宋体" w:eastAsia="宋体" w:cs="宋体"/>
                <w:b/>
                <w:bCs/>
                <w:color w:val="FFFFFF"/>
                <w:kern w:val="0"/>
                <w:sz w:val="18"/>
                <w:szCs w:val="18"/>
              </w:rPr>
              <w:t>单位</w:t>
            </w:r>
          </w:p>
        </w:tc>
      </w:tr>
      <w:tr w14:paraId="6D12090D">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28BA464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756" w:type="dxa"/>
            <w:tcBorders>
              <w:top w:val="nil"/>
              <w:left w:val="nil"/>
              <w:bottom w:val="single" w:color="auto" w:sz="4" w:space="0"/>
              <w:right w:val="single" w:color="auto" w:sz="4" w:space="0"/>
            </w:tcBorders>
            <w:shd w:val="clear" w:color="000000" w:fill="FFFFFF"/>
            <w:vAlign w:val="center"/>
          </w:tcPr>
          <w:p w14:paraId="431B6AF7">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幼儿保育仿真系统</w:t>
            </w:r>
          </w:p>
        </w:tc>
        <w:tc>
          <w:tcPr>
            <w:tcW w:w="8264" w:type="dxa"/>
            <w:tcBorders>
              <w:top w:val="nil"/>
              <w:left w:val="nil"/>
              <w:bottom w:val="single" w:color="auto" w:sz="4" w:space="0"/>
              <w:right w:val="single" w:color="auto" w:sz="4" w:space="0"/>
            </w:tcBorders>
            <w:shd w:val="clear" w:color="000000" w:fill="FFFFFF"/>
            <w:vAlign w:val="center"/>
          </w:tcPr>
          <w:p w14:paraId="63D932CC">
            <w:pPr>
              <w:widowControl/>
              <w:rPr>
                <w:rFonts w:hint="eastAsia" w:ascii="宋体" w:hAnsi="宋体" w:eastAsia="宋体" w:cs="宋体"/>
                <w:kern w:val="0"/>
                <w:sz w:val="18"/>
                <w:szCs w:val="18"/>
              </w:rPr>
            </w:pPr>
            <w:r>
              <w:rPr>
                <w:rFonts w:hint="eastAsia" w:ascii="宋体" w:hAnsi="宋体" w:eastAsia="宋体" w:cs="宋体"/>
                <w:kern w:val="0"/>
                <w:sz w:val="18"/>
                <w:szCs w:val="18"/>
              </w:rPr>
              <w:t>★1、系统平台运用虚拟仿真技术构建保育室等场景，方便师生进行交互式的实训体验，大幅度提高教学质量和效果，具有安全、无风险、反复应用等优点。通过此实训系统帮助学生学习保育技能基本操作并熟练掌握操作技能的高自由度软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★2、系统平台采用 CS架构搭建，使用 3Dmax、Maya 等三维建模软件制作构建三维虚拟环境所需的三维模型，后期使用 Unity 引擎进行烘焙、渲染处理，以达到在虚拟环境中体现出保育技能特色的目的。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3、系统平台采用开放架构，可任意扩展升级。</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★4、系统平台包含实例演示、详细学习、交互式练习。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系统平台采用开放式操作设计，操作者在三维场景中可以通过交互的方式进行漫游、任意角度操作；并在操作实景中设置有切视角模块，方便操作</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5、系统平台采用次时代游戏的制作技术和保育技能相结合，将游戏娱乐和愉悦学习相结合，增强学习的乐趣。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6、系统平台内容模块涵盖以下3D仿真实训项目（每个项目必须包含真人实例演示、PPT教学课件和3D互动实操模拟）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（1）幼儿烫伤初步处理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（2）幼儿外伤出血处理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（3）幼儿溺水紧急处理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（4）幼儿海姆立克急救法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（5）幼儿七步洗手法指导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（6）幼儿穿脱衣物指导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（7）幼儿沐浴指导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▲（8）幼儿童车使用指导(投标文件中需提供中国合格评定国家认可委员会CNAS或中国计量认证CMA机构认可的权威实验室出具的检测报告为佐证，报告中需呈现相应功能,提供复印件并加盖公章）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（9）幼儿体格生长测量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（10）幼儿体温测量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（11）幼儿心肺复苏技术</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（12）幼儿生命体征的测量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（13）幼儿进餐用具使用指导(投标文件中需提供中国合格评定国家认可委员会CNAS或中国计量认证CMA机构认可的权威实验室出具的检测报告为佐证，报告中需呈现相应功能,提供复印件并加盖公章）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（14）幼儿刷牙指导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（15）幼儿沐浴指导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（16）婴儿主被动操</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（17）婴幼儿抚触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▲（18）婴儿被动操（投标文件中提供功能截图）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▲（19）幼儿分离焦虑应对（投标文件中提供功能截图）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（20）玩具清洁</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（21）幼儿睡姿指导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（22）幼儿洗脸指导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（23）帮助幼儿洗屁股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（24）帮助幼儿换纸尿裤</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（25）安抚宝宝</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（26）鼻腔异物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（27）头皮血肿</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（28）食物中毒</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（29）指端扭伤</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（30）咽部异物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（31）幼儿奶具的清洁与消毒</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（32）幼儿四肢骨折的幼儿现场救护</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（33）幼儿触电的救护</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(34)幼儿抚触（投标文件中提供功能截图）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(35)幼儿惊厥的处理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(36）幼儿饮水指导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(37)以上项目必须具备打分和考核系统，根据3D操作步骤完成度和对错进行打分。(投标文件中需提供中国合格评定国家认可委员会CNAS或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★7、婴幼儿生长知识库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系统中根据不同年龄段的真实幼儿进行建模，可通过操作了解标准年龄段1岁、2岁、3岁、4岁、5岁、6岁男生和女生的身高、体重发育的正常数值范围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（1）头围测量与学习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（2）身高和体重测量与学习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（3）胸围的测量与学习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★8、幼儿常见疾病与传染病认识与预防</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以真实的常见病和传染病幼儿建模，以图文、语音、文字等内容等展现幼儿常见的传染性疾病、非传染性疾病寄生虫等的预防措施、治疗方法等。(投标文件中需提供中国合格评定国家认可委员会CNAS或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（1）幼儿传染病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流行性感冒、流行性腮腺炎、百日咳、水痘、乙型脑炎、伤寒、细菌性痢疾(菌痢)、脑脊髓、膜炎(流脑)、肺结核病、麻疹、小儿风疹、手足口病、肝炎、狂犬病、黑热病、丝虫病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（2）幼儿常见疾病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幼儿肥胖症、缺铁性贫血、营养不良、维生素D、缺乏性佝偻症、上呼吸道感染、腹泻、弱视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（3）寄生虫疾病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钩虫病、蛲虫病、蛔虫病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9、人体系统构成（人体3D体验馆）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（1）呼吸系统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呼吸系统是根据真实的3D建模组成，系统以语音及文字的方式对呼吸系统独立结构进行讲解，具体结构组成部分有：鼻、咽、喉、气管、支气管以及由大量的肺泡、血管、淋巴管、神经构成的肺，以及胸膜等组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（2）消化系统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消化系统的器官模型皆参照真实消化系统器官的结构建模而成，系统支持以语音、文字、图片的形式对消化系统模型进行解析，解析内容包含：消化系统的功能、消化系统各个组成部分的介绍。</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（3）泌尿系统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系统支持将模型进行放大缩小以及旋转等操作，可供体验者观察模型细节，泌尿系统的模型色彩、大小均参照真实人体器官构建而成，便于学习理解，具体结构组成部分有：肾脏、输尿管、膀胱及尿道组成，体验者可选择各个部分的解析内容进行学习。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（4）生殖系统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系统支持以语音及文字的方式对生殖系统独立结构进行讲解，具体结构组成部分有：男性生殖系统和女性生殖系统，根据所在的部位不同，又可以分为内生殖器和外生殖器两部分。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（5）神经系统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系统采用3Dmax、maya、substance painter、craybump等软件1:1还原出神经系统的构成，并以图文的形式对神经系统的主要器官进行展示。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10、幼儿心理健康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（1）幼儿心理健康教育</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以图片、文字、语音的形式展现了幼儿心理健康教育常用的四大途径：课程渗透、学校家庭共同关注、日常融合心理教育、个别化心理教育；三大治疗方法：游戏治疗、绘画治疗、故事治疗；四大基本因素：生理因素、家庭因素、社会环境因素、个体因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（2）幼儿心理健康的六大标志</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系统以文字、语音、图片的形式展示了幼儿心理健康的六大标志；六大标志内容包含：</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1）求知欲强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2）意志力强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3）活泼乐观</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4）心态平衡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5）富于同情心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6）人际关系良好</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▲11、投标文件中提供幼儿护理技能仿真实训系统软件著作权登记证书扫描件并加盖公章。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12、质保服务：提供原厂针对本项目的三年售后服务承诺函。</w:t>
            </w:r>
          </w:p>
        </w:tc>
        <w:tc>
          <w:tcPr>
            <w:tcW w:w="520" w:type="dxa"/>
            <w:tcBorders>
              <w:top w:val="nil"/>
              <w:left w:val="nil"/>
              <w:bottom w:val="single" w:color="auto" w:sz="4" w:space="0"/>
              <w:right w:val="single" w:color="auto" w:sz="4" w:space="0"/>
            </w:tcBorders>
            <w:shd w:val="clear" w:color="000000" w:fill="FFFFFF"/>
            <w:vAlign w:val="center"/>
          </w:tcPr>
          <w:p w14:paraId="3FDD9129">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11923ED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08DFEF20">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789E551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756" w:type="dxa"/>
            <w:tcBorders>
              <w:top w:val="nil"/>
              <w:left w:val="nil"/>
              <w:bottom w:val="single" w:color="auto" w:sz="4" w:space="0"/>
              <w:right w:val="nil"/>
            </w:tcBorders>
            <w:shd w:val="clear" w:color="000000" w:fill="FFFFFF"/>
            <w:noWrap/>
            <w:vAlign w:val="center"/>
          </w:tcPr>
          <w:p w14:paraId="7579090B">
            <w:pPr>
              <w:widowControl/>
              <w:rPr>
                <w:rFonts w:hint="eastAsia" w:ascii="宋体" w:hAnsi="宋体" w:eastAsia="宋体" w:cs="宋体"/>
                <w:kern w:val="0"/>
                <w:sz w:val="18"/>
                <w:szCs w:val="18"/>
              </w:rPr>
            </w:pPr>
            <w:r>
              <w:rPr>
                <w:rFonts w:hint="eastAsia" w:ascii="宋体" w:hAnsi="宋体" w:eastAsia="宋体" w:cs="宋体"/>
                <w:kern w:val="0"/>
                <w:sz w:val="18"/>
                <w:szCs w:val="18"/>
              </w:rPr>
              <w:t>VR婴幼儿活动机理虚拟仿真平台</w:t>
            </w:r>
          </w:p>
        </w:tc>
        <w:tc>
          <w:tcPr>
            <w:tcW w:w="8264" w:type="dxa"/>
            <w:tcBorders>
              <w:top w:val="nil"/>
              <w:left w:val="single" w:color="auto" w:sz="4" w:space="0"/>
              <w:bottom w:val="single" w:color="auto" w:sz="4" w:space="0"/>
              <w:right w:val="single" w:color="auto" w:sz="4" w:space="0"/>
            </w:tcBorders>
            <w:shd w:val="clear" w:color="000000" w:fill="FFFFFF"/>
            <w:vAlign w:val="center"/>
          </w:tcPr>
          <w:p w14:paraId="6F6793A4">
            <w:pPr>
              <w:widowControl/>
              <w:rPr>
                <w:rFonts w:hint="eastAsia" w:ascii="宋体" w:hAnsi="宋体" w:eastAsia="宋体" w:cs="宋体"/>
                <w:kern w:val="0"/>
                <w:sz w:val="18"/>
                <w:szCs w:val="18"/>
              </w:rPr>
            </w:pPr>
            <w:r>
              <w:rPr>
                <w:rFonts w:hint="eastAsia" w:ascii="宋体" w:hAnsi="宋体" w:eastAsia="宋体" w:cs="宋体"/>
                <w:kern w:val="0"/>
                <w:sz w:val="18"/>
                <w:szCs w:val="18"/>
              </w:rPr>
              <w:t>婴幼儿活动机理虚拟仿真平台是针对0-3岁婴幼儿翻身、坐立、爬行、站立、行走等活动进行全面的展示和活动设计综合训练。通过该平台，学生能够掌握0-3岁婴幼儿翻身、坐立、爬行、站立、行走的协调运行机理，充分了解机理对于婴幼儿发展的重要性。在实践活动中，学生实现以活动设计有效促进婴幼儿成长和发展的目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系统平台采用 CS架构搭建，使用 3Dmax、Maya 等三维建模软件制作构建三维虚拟环境所需的三维模型，后期使用 Unity 引擎进行烘焙、渲染处理，以达到在虚拟环境中体现出技能特色的目的。</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参数要求如下：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（1）平台要求采用Unity 3D引擎开发，逼真还原现实场景。系统中出现的人物，设备都要求采用写实画风。</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（2）平要求采用第三人称视角展现、沉浸式的虚拟现实体验感，充分发挥仿真教学的优势，让用户在实验中获得经验与提高知识保留度。   </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（3）平台要求采用人工智能语音讲解，重要知识点提示，引导学生主动学习，实现视觉与听觉双重记忆。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（4）平台要求基于Windows平台开发PC端应用软件，使用鼠标键盘进行交互操作，高速三维场景实时渲染,运行流畅。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平台虚拟仿真资源要求包括：婴幼儿翻身机理、婴幼儿坐立机理、婴幼儿爬行机理、婴幼儿站立机理、婴幼儿行走机理、以走线游戏为例进行1-3岁幼儿机制解释等6个资源。(投标文件中需提供中国合格评定国家认可委员会CNAS或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婴幼儿翻身虚拟仿真资源要求包括：婴幼儿翻身动作过程、骨骼运动原理、肌肉运动原理、运作机制以及神经传导过程等。骨骼运动原理需体现与婴幼儿翻身动作相关的部位，如脊椎、颈椎、骨盆；需提供各部位的功能作用。肌肉运动原理需介绍与翻身相关的主要肌肉群，如腹肌、背肌、颈部和肩部肌肉。讲解这些肌肉如何协调工作，以产生翻身动作。</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婴幼儿坐立虚拟仿真资源要求包括：婴幼儿坐立动作过程、骨骼运动原理、肌肉运动原理、运作机制以及神经传导过程等。骨骼运动原理需介绍婴幼儿的骨骼系统，特别是与坐立相关的部位，如脊椎、骨盆。解释婴幼儿如何利用骨骼结构来支持身体坐立。肌肉运动原理需介绍与坐立相关的主要肌肉群，如腹部肌肉、背部肌肉。讲解这些肌肉如何协调工作来维持坐立姿势。</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婴幼儿爬行虚拟仿真资源要求包括：婴幼儿爬行动作过程、骨骼运动原理、肌肉运动原理、运作机制以及神经传导过程等。骨骼运动原理需介绍婴幼儿的骨骼系统，特别是与爬行相关的部位，如脊椎、骨盆、手臂和腿部骨骼。肌肉运动原理需介绍与爬行相关的主要肌肉群，如腹肌、背肌、手臂和腿部肌肉。讲解这些肌肉如何协调工作，以产生有效的爬行运动。</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婴幼儿站立虚拟仿真资源要求包括：婴幼儿站立动作过程、骨骼运动原理、肌肉运动原理、运作机制以及神经传导过程等。骨骼运动原理需介绍婴幼儿骨骼系统的发展，特别是与站立相关的部位，如骨盆、脊椎和下肢。解释骨骼如何支撑身体重量并维持站立姿势。肌肉运动原理需讲述与站立相关的主要肌肉群，包括腿部、腹部、背部肌肉。描述这些肌肉如何共同工作以保持站立和平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10）婴幼儿行走虚拟仿真资源要求包括：婴幼儿行走动作过程、骨骼运动原理、肌肉运动原理、骨骼运动原理、肌肉运动原理、运作机制以及神经传导过程等。骨骼运动原理需介绍婴幼儿骨骼系统的结构和发展，特别是与行走相关的部位，如骨盆、脊椎、腿部。解释骨骼如何提供必要的支撑和平衡，以实现行走。肌肉运动原理需讲述与行走相关的主要肌肉群，包括腿部、臀部、腹部和背部肌肉。描述这些肌肉如何协调工作，以维持行走的节奏和平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11）走线游戏实验包括游戏原理解释，骨骼运动原理、肌肉运动原理以及机制，采用3D技术展现婴幼儿开展走线游戏时神经系统、肌肉、骨骼运动的机制和原理。骨骼运动原理需介绍婴幼儿在这个年龄段骨骼的发展，特别是与行走和平衡相关的部位。骨骼如何支撑身体和协助动作。肌肉运动原理需讲述与走线相关的主要肌肉群，包括腿部、臀部、躯干肌肉。描述这些肌肉如何协调工作，以维持行走的稳定性。(投标文件中需提供中国合格评定国家认可委员会CNAS或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（12）质保服务：提供原厂针对本项目的三年售后服务承诺函。</w:t>
            </w:r>
          </w:p>
        </w:tc>
        <w:tc>
          <w:tcPr>
            <w:tcW w:w="520" w:type="dxa"/>
            <w:tcBorders>
              <w:top w:val="nil"/>
              <w:left w:val="nil"/>
              <w:bottom w:val="single" w:color="auto" w:sz="4" w:space="0"/>
              <w:right w:val="single" w:color="auto" w:sz="4" w:space="0"/>
            </w:tcBorders>
            <w:shd w:val="clear" w:color="000000" w:fill="FFFFFF"/>
            <w:vAlign w:val="center"/>
          </w:tcPr>
          <w:p w14:paraId="073997D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788739E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222482FA">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0A89034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756" w:type="dxa"/>
            <w:tcBorders>
              <w:top w:val="nil"/>
              <w:left w:val="nil"/>
              <w:bottom w:val="nil"/>
              <w:right w:val="nil"/>
            </w:tcBorders>
            <w:shd w:val="clear" w:color="000000" w:fill="FFFFFF"/>
            <w:noWrap/>
            <w:vAlign w:val="center"/>
          </w:tcPr>
          <w:p w14:paraId="23424A47">
            <w:pPr>
              <w:widowControl/>
              <w:rPr>
                <w:rFonts w:hint="eastAsia" w:ascii="宋体" w:hAnsi="宋体" w:eastAsia="宋体" w:cs="宋体"/>
                <w:kern w:val="0"/>
                <w:sz w:val="18"/>
                <w:szCs w:val="18"/>
              </w:rPr>
            </w:pPr>
            <w:r>
              <w:rPr>
                <w:rFonts w:hint="eastAsia" w:ascii="宋体" w:hAnsi="宋体" w:eastAsia="宋体" w:cs="宋体"/>
                <w:kern w:val="0"/>
                <w:sz w:val="18"/>
                <w:szCs w:val="18"/>
              </w:rPr>
              <w:t>婴幼儿体质健康教学平台</w:t>
            </w:r>
          </w:p>
        </w:tc>
        <w:tc>
          <w:tcPr>
            <w:tcW w:w="8264" w:type="dxa"/>
            <w:tcBorders>
              <w:top w:val="nil"/>
              <w:left w:val="single" w:color="auto" w:sz="4" w:space="0"/>
              <w:bottom w:val="single" w:color="auto" w:sz="4" w:space="0"/>
              <w:right w:val="single" w:color="auto" w:sz="4" w:space="0"/>
            </w:tcBorders>
            <w:shd w:val="clear" w:color="000000" w:fill="FFFFFF"/>
            <w:vAlign w:val="center"/>
          </w:tcPr>
          <w:p w14:paraId="6777148E">
            <w:pPr>
              <w:widowControl/>
              <w:rPr>
                <w:rFonts w:hint="eastAsia" w:ascii="宋体" w:hAnsi="宋体" w:eastAsia="宋体" w:cs="宋体"/>
                <w:kern w:val="0"/>
                <w:sz w:val="18"/>
                <w:szCs w:val="18"/>
              </w:rPr>
            </w:pPr>
            <w:r>
              <w:rPr>
                <w:rFonts w:hint="eastAsia" w:ascii="宋体" w:hAnsi="宋体" w:eastAsia="宋体" w:cs="宋体"/>
                <w:kern w:val="0"/>
                <w:sz w:val="18"/>
                <w:szCs w:val="18"/>
              </w:rPr>
              <w:t>1、婴幼儿体质健康指标模块</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该模块要求包含：形态发育指标、生理生化指标、身体素质发育指标、脑功能指标、发育行为评估等五类指标。(投标文件中需提供中国合格评定国家认可委员会CNAS或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★（2）形态发育指标要求包括：体重、身高、头围、胸围、皮褶厚度（体脂率）、坐高/身高、肩盆宽指数、头部发育、胸廓发育、四肢发育、脊柱发育、BMI、维尔维克指数、克托莱指数等。</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★（3）生理生化指标要求包括：体温、心率、安静时呼吸频率、肌张力、血红蛋白、视力、听力、血/尿肌酐、尿羟脯氨酸、骨密度检查、血压、骨龄等。</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身体素质发育指标要求包括：觅食反射、吸吮反射、莫罗反射、巴宾斯基反射、不对称性颈张力反射、走路反射、颈翻正反射、迷路翻正反射、跳伞反射、体能测试部分（10米往返跑、立定跳远、投掷（网球掷远）双脚连续跳、坐位体前屈、走平衡木、接球、踢球）等。</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（5）脑功能指标要求包括：脑电优势及幅值、左右脑均衡、注意和记忆力等。</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★（6）发育行为评估指标要求至少包括：大运动、精细动作、适应能力、语言、社会行为等，每类发育行为评估指标需提供相应的干预案例不少于2个。</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2、婴幼儿健康案例模块</w:t>
            </w:r>
            <w:r>
              <w:rPr>
                <w:rFonts w:hint="eastAsia" w:ascii="宋体" w:hAnsi="宋体" w:eastAsia="宋体" w:cs="宋体"/>
                <w:kern w:val="0"/>
                <w:sz w:val="18"/>
                <w:szCs w:val="18"/>
              </w:rPr>
              <w:br w:type="textWrapping"/>
            </w:r>
            <w:r>
              <w:rPr>
                <w:rFonts w:hint="eastAsia" w:ascii="宋体" w:hAnsi="宋体" w:eastAsia="宋体" w:cs="宋体"/>
                <w:kern w:val="0"/>
                <w:sz w:val="18"/>
                <w:szCs w:val="18"/>
              </w:rPr>
              <w:t>该模块要求针对1月龄、2月龄、3月龄、4月龄、5月龄、6月龄、7月龄、8月龄、9月龄、10月龄、11月龄、12月龄、15月龄、18月龄、21月龄、24月龄、30月龄、36月龄、42月龄、48月龄、54月龄、60月龄、66月龄、72月龄等24个阶段的婴幼儿提供正常指标以及三个幼儿发育数据作为实验案例。(投标文件中需提供中国合格评定国家认可委员会CNAS</w:t>
            </w:r>
            <w:r>
              <w:rPr>
                <w:rFonts w:hint="eastAsia" w:ascii="宋体" w:hAnsi="宋体" w:eastAsia="宋体" w:cs="宋体"/>
                <w:kern w:val="0"/>
                <w:sz w:val="18"/>
                <w:szCs w:val="18"/>
                <w:lang w:val="en-US" w:eastAsia="zh-CN"/>
              </w:rPr>
              <w:t>或</w:t>
            </w:r>
            <w:r>
              <w:rPr>
                <w:rFonts w:hint="eastAsia" w:ascii="宋体" w:hAnsi="宋体" w:eastAsia="宋体" w:cs="宋体"/>
                <w:kern w:val="0"/>
                <w:sz w:val="18"/>
                <w:szCs w:val="18"/>
              </w:rPr>
              <w:t>中国计量认证CMA机构认可的权威实验室出具的检测报告为佐证，报告中需呈现相应功能,提供复印件并加盖公章）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具体要求如下：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（1）1月龄段：包含本月龄段正常指标、正常儿童案例、体重增长不良儿童案例和追红球异常儿童案例；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（2）2月龄段：包含本月龄段正常指标、正常儿童案例、肌张力偏低儿童案例和肌张力偏高儿童案例；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▲（3）3月龄段：包含本月龄段正常指标、正常儿童案例、大运动落后儿童案例和听力障碍儿童案例；（响应文件中提供功能截图，至少提供该年龄段的幼儿案例截图）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（4）4月龄段：包含本月龄段正常指标、正常儿童案例、骨密度低儿童案例和肥胖儿童案例；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（5）5月龄段：包含本月龄段正常指标、正常儿童案例、身长偏高儿童案例和身长偏低儿童案例；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（6）6月龄段：包含本月龄段正常指标、正常儿童案例、学红蛋白偏低儿童案例和血红蛋白偏高儿童案例；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（7）7月龄段：包含本月龄段正常指标、正常儿童案例、头围偏小儿童案例和头围偏大儿童案例；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（8）8月龄段：包含本月龄段正常指标、正常儿童案例、体温偏低儿童案例和心率偏快儿童案例；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（9）9月龄段：包含本月龄段正常指标、正常儿童案例、血肌酐偏低儿童案例和血肌酐偏高儿童案例；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（10）10月龄段：包含本月龄段正常指标、正常儿童案例、精细动作落后儿童案例和精细动作提前儿童案例；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（11）11月龄段：包含本月龄段正常指标、正常儿童案例、跳伞反射异常儿童案例和乳牙未萌出儿童案例；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（12）12月龄段：包含本月龄段正常指标、正常儿童案例、语言发育落后儿童案例和语言发育提前儿童案例；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（13）15月龄段：包含本月龄段正常指标、正常儿童案例、体重低BMI低儿童案例和大运动发育迟缓儿童案例；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（14）18月龄段：包含本月龄段正常指标、正常儿童案例、语言发育迟缓儿童案例和佝偻病前卤大儿童案例；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（15）21月龄段：包含本月龄段正常指标、正常儿童案例、流感体温高儿童案例和大运动良好儿童案例；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（16）24月龄段：包含本月龄段正常指标、正常儿童案例、骨密度减少儿童案例和精细动作良好儿童案例；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（17）30月龄段：包含本月龄段正常指标、正常儿童案例、失神癫痫脑电图异常儿童案例和语言发育良好儿童案例；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（18）36月龄段：包含本月龄段正常指标、正常儿童案例、病毒性脑炎巴氏征阳性儿童案例和精细运动低下儿童案例；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（19）42月龄段：包含本月龄段正常指标、正常儿童案例、肾小球症血压高儿童案例和全面发育迟缓儿童案例；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（20）48月龄段：包含本月龄段正常指标、正常儿童案例、缺生长激素骨龄小儿童案例和O型腿儿童案例；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（21）54月龄段：包含本月龄段正常指标、正常儿童案例、视力低儿童案例和自闭症社交能力低儿童案例；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（22）60月龄段：包含本月龄段正常指标、正常儿童案例、适应能力低下儿童案例和心肌炎心率快儿童案例；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（23）66月龄段：包含本月龄段正常指标、正常儿童案例、脊柱侧弯儿童案例和超重儿童案例；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（24）72月龄段：包含本月龄段正常指标、正常儿童案例、ADHD注意力差儿童案例和性早熟骨龄大儿童案例；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（25）质保服务：提供原厂针对本项目的三年售后服务承诺函。</w:t>
            </w:r>
          </w:p>
        </w:tc>
        <w:tc>
          <w:tcPr>
            <w:tcW w:w="520" w:type="dxa"/>
            <w:tcBorders>
              <w:top w:val="nil"/>
              <w:left w:val="nil"/>
              <w:bottom w:val="single" w:color="auto" w:sz="4" w:space="0"/>
              <w:right w:val="single" w:color="auto" w:sz="4" w:space="0"/>
            </w:tcBorders>
            <w:shd w:val="clear" w:color="000000" w:fill="FFFFFF"/>
            <w:vAlign w:val="center"/>
          </w:tcPr>
          <w:p w14:paraId="26C981A9">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2F6A4528">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2C5662AF">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044B6217">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756" w:type="dxa"/>
            <w:tcBorders>
              <w:top w:val="single" w:color="auto" w:sz="4" w:space="0"/>
              <w:left w:val="nil"/>
              <w:bottom w:val="single" w:color="auto" w:sz="4" w:space="0"/>
              <w:right w:val="single" w:color="auto" w:sz="4" w:space="0"/>
            </w:tcBorders>
            <w:shd w:val="clear" w:color="000000" w:fill="FFFFFF"/>
            <w:vAlign w:val="center"/>
          </w:tcPr>
          <w:p w14:paraId="07B4AF9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VR头盔设备</w:t>
            </w:r>
          </w:p>
        </w:tc>
        <w:tc>
          <w:tcPr>
            <w:tcW w:w="8264" w:type="dxa"/>
            <w:tcBorders>
              <w:top w:val="nil"/>
              <w:left w:val="nil"/>
              <w:bottom w:val="single" w:color="auto" w:sz="4" w:space="0"/>
              <w:right w:val="single" w:color="auto" w:sz="4" w:space="0"/>
            </w:tcBorders>
            <w:shd w:val="clear" w:color="000000" w:fill="FFFFFF"/>
            <w:vAlign w:val="center"/>
          </w:tcPr>
          <w:p w14:paraId="65129F1B">
            <w:pPr>
              <w:widowControl/>
              <w:rPr>
                <w:rFonts w:hint="eastAsia" w:ascii="宋体" w:hAnsi="宋体" w:eastAsia="宋体" w:cs="宋体"/>
                <w:kern w:val="0"/>
                <w:sz w:val="18"/>
                <w:szCs w:val="18"/>
              </w:rPr>
            </w:pPr>
            <w:r>
              <w:rPr>
                <w:rFonts w:hint="eastAsia" w:ascii="宋体" w:hAnsi="宋体" w:eastAsia="宋体" w:cs="宋体"/>
                <w:kern w:val="0"/>
                <w:sz w:val="18"/>
                <w:szCs w:val="18"/>
              </w:rPr>
              <w:t>★1、基本规格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内存容量不小于 128GB (UFS 3.1)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运存:不小于 8GB LPDDR4X (2133MHz)</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2、硬件配置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处理器: 高通骁龙®XR2芯片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GPU: Adreno 650 (587MHz)</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无线连接: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Wi-Fi 6 (802.11 a/b/g/n/ac/ax)、双频2.4GHz/5GHz</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- 2×2 MIMO</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蓝牙5.1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★3、显示系统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显示屏: 双2.56英寸屏幕，单眼分辨率: 2160×2160，总分辨率: 4320×2160 (4.3K)，像素密度: 1200 PPI，刷新率: 72Hz/90Hz可调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光学系统: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视场角(FOV): 105°</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4、人体工学设计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瞳距调节: 电动调节，范围62-72mm(默认64mm)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重量: 主机: 295g(不含绑带)，总重: 586g，尺寸: 255/310mm(长)×195mm(宽)×106mm(高)</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佩戴系统:可旋转侧绑带，可拆卸顶绑带，适配不同人种的面部泡棉，可拆卸眼镜支架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5、传感器与追踪</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头部追踪: Inside-out 6DoF</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手柄追踪: 双手28自由度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传感器:四目单色鱼眼摄像头(640×480@60Hz),16MP RGB摄像头(4656×3496@30Hz),人脸佩戴检测传感器</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★6、交互功能</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手势识别: 支持5种手势模型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语音控制: 支持语音识别及聊天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手柄规格: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- 6轴传感器</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宽频马达(50-500Hz)</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按键配置: 摇杆/扳机/抓握/菜单/截屏/Home/XY(左)/AB(右)</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电池: 2×AA碱性电池(续航约80小时)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重量: 180g(含电池)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7、音频系统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- 360°环绕立体声喇叭</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支持3D空间音效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全指向双麦克风阵列</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环境噪声抑制(30dB)</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回声抑制(50dB)</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8、电源与续航</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电池容量: 5300mAh</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续航时间: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连续视频: 约3小时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游戏: 约2.5小时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充电:</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支持QC3.0/USB PD3.0快充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支持边用边充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9、接口与扩展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接口: USB-C(支持USB 3.0，需专用线缆)</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扩展功能:</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DP over USB-C(需转接器)</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OTG供电(5V/1A)</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  - 不支持SD卡扩展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10、包装内容</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VR头盔×1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- 6DoF手柄×2</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AA碱性电池×4</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眼镜支架×1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遮光鼻托×1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手柄挂绳×2</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USB-C电源适配器×1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USB-C to C 2.0数据线×1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快速指南/用户指南/安全与质保指南</w:t>
            </w:r>
          </w:p>
        </w:tc>
        <w:tc>
          <w:tcPr>
            <w:tcW w:w="520" w:type="dxa"/>
            <w:tcBorders>
              <w:top w:val="nil"/>
              <w:left w:val="nil"/>
              <w:bottom w:val="single" w:color="auto" w:sz="4" w:space="0"/>
              <w:right w:val="single" w:color="auto" w:sz="4" w:space="0"/>
            </w:tcBorders>
            <w:shd w:val="clear" w:color="000000" w:fill="FFFFFF"/>
            <w:vAlign w:val="center"/>
          </w:tcPr>
          <w:p w14:paraId="2BF9E56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520" w:type="dxa"/>
            <w:tcBorders>
              <w:top w:val="nil"/>
              <w:left w:val="nil"/>
              <w:bottom w:val="single" w:color="auto" w:sz="4" w:space="0"/>
              <w:right w:val="single" w:color="auto" w:sz="4" w:space="0"/>
            </w:tcBorders>
            <w:shd w:val="clear" w:color="000000" w:fill="FFFFFF"/>
            <w:vAlign w:val="center"/>
          </w:tcPr>
          <w:p w14:paraId="6F472CE6">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个</w:t>
            </w:r>
          </w:p>
        </w:tc>
      </w:tr>
      <w:tr w14:paraId="2DA69E2C">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45AA3AA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756" w:type="dxa"/>
            <w:tcBorders>
              <w:top w:val="nil"/>
              <w:left w:val="nil"/>
              <w:bottom w:val="single" w:color="auto" w:sz="4" w:space="0"/>
              <w:right w:val="single" w:color="auto" w:sz="4" w:space="0"/>
            </w:tcBorders>
            <w:shd w:val="clear" w:color="000000" w:fill="FFFFFF"/>
            <w:vAlign w:val="center"/>
          </w:tcPr>
          <w:p w14:paraId="54A7F288">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VR头戴一体充电柜</w:t>
            </w:r>
          </w:p>
        </w:tc>
        <w:tc>
          <w:tcPr>
            <w:tcW w:w="8264" w:type="dxa"/>
            <w:tcBorders>
              <w:top w:val="nil"/>
              <w:left w:val="nil"/>
              <w:bottom w:val="single" w:color="auto" w:sz="4" w:space="0"/>
              <w:right w:val="single" w:color="auto" w:sz="4" w:space="0"/>
            </w:tcBorders>
            <w:shd w:val="clear" w:color="000000" w:fill="FFFFFF"/>
            <w:vAlign w:val="center"/>
          </w:tcPr>
          <w:p w14:paraId="48CF98C9">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VR眼镜USB快速集中充电柜，VR设备移动消毒柜；内部设有隔板，可存放多个VR眼镜头盔，同时充电，每层带有紫外线的杀毒灯，大功率，高稳定性，独立电源模块供电智能主动温控；尺寸：高165*宽890*厚380MM;材质：冷轧钢板，★台位≥12个充电位。</w:t>
            </w:r>
          </w:p>
        </w:tc>
        <w:tc>
          <w:tcPr>
            <w:tcW w:w="520" w:type="dxa"/>
            <w:tcBorders>
              <w:top w:val="nil"/>
              <w:left w:val="nil"/>
              <w:bottom w:val="single" w:color="auto" w:sz="4" w:space="0"/>
              <w:right w:val="single" w:color="auto" w:sz="4" w:space="0"/>
            </w:tcBorders>
            <w:shd w:val="clear" w:color="000000" w:fill="FFFFFF"/>
            <w:vAlign w:val="center"/>
          </w:tcPr>
          <w:p w14:paraId="5B90162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122937B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1BE7A641">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64CD9C8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756" w:type="dxa"/>
            <w:tcBorders>
              <w:top w:val="nil"/>
              <w:left w:val="nil"/>
              <w:bottom w:val="single" w:color="auto" w:sz="4" w:space="0"/>
              <w:right w:val="single" w:color="auto" w:sz="4" w:space="0"/>
            </w:tcBorders>
            <w:shd w:val="clear" w:color="000000" w:fill="FFFFFF"/>
            <w:vAlign w:val="center"/>
          </w:tcPr>
          <w:p w14:paraId="4E1B493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VR视频显示终端</w:t>
            </w:r>
          </w:p>
        </w:tc>
        <w:tc>
          <w:tcPr>
            <w:tcW w:w="8264" w:type="dxa"/>
            <w:tcBorders>
              <w:top w:val="nil"/>
              <w:left w:val="nil"/>
              <w:bottom w:val="single" w:color="auto" w:sz="4" w:space="0"/>
              <w:right w:val="single" w:color="auto" w:sz="4" w:space="0"/>
            </w:tcBorders>
            <w:shd w:val="clear" w:color="000000" w:fill="FFFFFF"/>
            <w:vAlign w:val="center"/>
          </w:tcPr>
          <w:p w14:paraId="464E85DE">
            <w:pPr>
              <w:widowControl/>
              <w:rPr>
                <w:rFonts w:hint="eastAsia" w:ascii="宋体" w:hAnsi="宋体" w:eastAsia="宋体" w:cs="宋体"/>
                <w:kern w:val="0"/>
                <w:sz w:val="18"/>
                <w:szCs w:val="18"/>
              </w:rPr>
            </w:pPr>
            <w:r>
              <w:rPr>
                <w:rFonts w:hint="eastAsia" w:ascii="宋体" w:hAnsi="宋体" w:eastAsia="宋体" w:cs="宋体"/>
                <w:kern w:val="0"/>
                <w:sz w:val="18"/>
                <w:szCs w:val="18"/>
              </w:rPr>
              <w:t>1、显示模块：含接收卡、电源；像素结构 SMD1010三合一LED；★像素间距（mm） 1.25；模组分辨率（W×H）；256×128=32768；模组尺寸（mm） 320×160×12；模组重量（kg） 0.395kg±0.01kg；</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模组输入电压（V） 4.5±0.1V ；模组最大电流（A） ≤5.0；模组最大功耗（W） ≤23；单点亮度校正 有</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单点色度校正 有；白平衡亮度（nits） ≥450；色温（K） 3000～14000可调；视角（水平/垂直°） 140/120</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亮度/色度均匀性 ≥99%；对比度   5000:1；箱体最大功耗（W） 138；箱体平均功耗（W） 46；供电要求   AC90V－132V/ AC186V－264V，频率47Hz～63Hz；换帧频率（Hz） 50&amp;60；驱动方式    恒流驱动，64扫</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灰度级别 16384；刷新率（Hz） 3840Hz；颜色处理位数 14bit；寿命典型值（hrs） 100,000H；工作温/湿度范围（℃/RH） -20℃～50℃ / 10%RH～65%RH（无结露）；存储温/湿度范围（℃/RH） -10℃～30℃ / 10%RH～60%RH（无结露）</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2、配件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强磁、网络条线、5v单头线电源线及排线；</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3、结构及施工</w:t>
            </w:r>
            <w:r>
              <w:rPr>
                <w:rFonts w:hint="eastAsia" w:ascii="宋体" w:hAnsi="宋体" w:eastAsia="宋体" w:cs="宋体"/>
                <w:kern w:val="0"/>
                <w:sz w:val="18"/>
                <w:szCs w:val="18"/>
              </w:rPr>
              <w:br w:type="textWrapping"/>
            </w:r>
            <w:r>
              <w:rPr>
                <w:rFonts w:hint="eastAsia" w:ascii="宋体" w:hAnsi="宋体" w:eastAsia="宋体" w:cs="宋体"/>
                <w:kern w:val="0"/>
                <w:sz w:val="18"/>
                <w:szCs w:val="18"/>
              </w:rPr>
              <w:t>钢结构，包边，施工；显示屏安装结构拼接框架及支撑结构基础必须采用高强度钢材，保证安装牢固度符合国家标准；显示屏安装结构应能满足LED高清显示屏的整体均匀平滑要求，结构便于安装和调试.3.94*2.02</w:t>
            </w:r>
          </w:p>
        </w:tc>
        <w:tc>
          <w:tcPr>
            <w:tcW w:w="520" w:type="dxa"/>
            <w:tcBorders>
              <w:top w:val="nil"/>
              <w:left w:val="nil"/>
              <w:bottom w:val="single" w:color="auto" w:sz="4" w:space="0"/>
              <w:right w:val="single" w:color="auto" w:sz="4" w:space="0"/>
            </w:tcBorders>
            <w:shd w:val="clear" w:color="000000" w:fill="FFFFFF"/>
            <w:vAlign w:val="center"/>
          </w:tcPr>
          <w:p w14:paraId="016CED86">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3B42713A">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5983CC83">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7C4A37A9">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7</w:t>
            </w:r>
          </w:p>
        </w:tc>
        <w:tc>
          <w:tcPr>
            <w:tcW w:w="756" w:type="dxa"/>
            <w:tcBorders>
              <w:top w:val="nil"/>
              <w:left w:val="nil"/>
              <w:bottom w:val="single" w:color="auto" w:sz="4" w:space="0"/>
              <w:right w:val="single" w:color="auto" w:sz="4" w:space="0"/>
            </w:tcBorders>
            <w:shd w:val="clear" w:color="000000" w:fill="FFFFFF"/>
            <w:vAlign w:val="center"/>
          </w:tcPr>
          <w:p w14:paraId="2687EBDC">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控制器</w:t>
            </w:r>
          </w:p>
        </w:tc>
        <w:tc>
          <w:tcPr>
            <w:tcW w:w="8264" w:type="dxa"/>
            <w:tcBorders>
              <w:top w:val="nil"/>
              <w:left w:val="nil"/>
              <w:bottom w:val="single" w:color="auto" w:sz="4" w:space="0"/>
              <w:right w:val="single" w:color="auto" w:sz="4" w:space="0"/>
            </w:tcBorders>
            <w:shd w:val="clear" w:color="000000" w:fill="FFFFFF"/>
            <w:vAlign w:val="center"/>
          </w:tcPr>
          <w:p w14:paraId="30DF3B88">
            <w:pPr>
              <w:widowControl/>
              <w:rPr>
                <w:rFonts w:hint="eastAsia" w:ascii="宋体" w:hAnsi="宋体" w:eastAsia="宋体" w:cs="宋体"/>
                <w:kern w:val="0"/>
                <w:sz w:val="18"/>
                <w:szCs w:val="18"/>
              </w:rPr>
            </w:pPr>
            <w:r>
              <w:rPr>
                <w:rFonts w:hint="eastAsia" w:ascii="宋体" w:hAnsi="宋体" w:eastAsia="宋体" w:cs="宋体"/>
                <w:kern w:val="0"/>
                <w:sz w:val="18"/>
                <w:szCs w:val="18"/>
              </w:rPr>
              <w:t>带载点数：520 万最大宽度：8000最大高度：4000  输入端口：DVI *2、HDMI*2、  AUDIOIN *1输出端口：千兆网口*8、控制端口：USB-CFG</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*1、COM *1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电气性能</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(1)输入电压及输入频率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A输入额定电压220Vac，输入电压范围应不小于±30%，且在输入电压全范围内能全额提供满载输出。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B输入频率范围应为50Hz±10%，自适应工作方式。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(2)输入功率因数应≥0.99，提供第三方权威机构检测报告并加盖公章。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(3)输出电压为220/230/240Vac，标准输出电压220Vac稳压精度应小于±1％，请投标方提供具体数据（％）。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(4)投标方需提供所投设备系列产品的抗震性能检验报告</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(5)输出波形失真度，线性负载应不大于3％，非线性负载应不大于5％，提供第三方权威机构检测报告并加盖公章。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(6)设备输出功率因数应不小于0.8。</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(7)输出电流峰值系数：电源所允许的最大非正弦波峰值电流与输出电流有效值之比应不小于3：1。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▲(8)过载能力：所投设备在正常工作方式情况下，过载130%的工作时间，应不少于10分钟；过载150%的工作时间，应不少于1分钟，大于150%的工作时间，应不少于500ms，提供第三方权威机构检测报告并加盖公章。</w:t>
            </w:r>
          </w:p>
        </w:tc>
        <w:tc>
          <w:tcPr>
            <w:tcW w:w="520" w:type="dxa"/>
            <w:tcBorders>
              <w:top w:val="nil"/>
              <w:left w:val="nil"/>
              <w:bottom w:val="single" w:color="auto" w:sz="4" w:space="0"/>
              <w:right w:val="single" w:color="auto" w:sz="4" w:space="0"/>
            </w:tcBorders>
            <w:shd w:val="clear" w:color="000000" w:fill="FFFFFF"/>
            <w:vAlign w:val="center"/>
          </w:tcPr>
          <w:p w14:paraId="735DA17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7F801D2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640D94B4">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552C9B6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8</w:t>
            </w:r>
          </w:p>
        </w:tc>
        <w:tc>
          <w:tcPr>
            <w:tcW w:w="756" w:type="dxa"/>
            <w:tcBorders>
              <w:top w:val="nil"/>
              <w:left w:val="nil"/>
              <w:bottom w:val="single" w:color="auto" w:sz="4" w:space="0"/>
              <w:right w:val="single" w:color="auto" w:sz="4" w:space="0"/>
            </w:tcBorders>
            <w:shd w:val="clear" w:color="000000" w:fill="FFFFFF"/>
            <w:vAlign w:val="center"/>
          </w:tcPr>
          <w:p w14:paraId="325D6CC6">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主动快门式3D眼镜</w:t>
            </w:r>
          </w:p>
        </w:tc>
        <w:tc>
          <w:tcPr>
            <w:tcW w:w="8264" w:type="dxa"/>
            <w:tcBorders>
              <w:top w:val="nil"/>
              <w:left w:val="nil"/>
              <w:bottom w:val="single" w:color="auto" w:sz="4" w:space="0"/>
              <w:right w:val="single" w:color="auto" w:sz="4" w:space="0"/>
            </w:tcBorders>
            <w:shd w:val="clear" w:color="000000" w:fill="FFFFFF"/>
            <w:vAlign w:val="center"/>
          </w:tcPr>
          <w:p w14:paraId="0BF43174">
            <w:pPr>
              <w:widowControl/>
              <w:rPr>
                <w:rFonts w:hint="eastAsia" w:ascii="宋体" w:hAnsi="宋体" w:eastAsia="宋体" w:cs="宋体"/>
                <w:kern w:val="0"/>
                <w:sz w:val="18"/>
                <w:szCs w:val="18"/>
              </w:rPr>
            </w:pPr>
            <w:r>
              <w:rPr>
                <w:rFonts w:hint="eastAsia" w:ascii="宋体" w:hAnsi="宋体" w:eastAsia="宋体" w:cs="宋体"/>
                <w:kern w:val="0"/>
                <w:sz w:val="18"/>
                <w:szCs w:val="18"/>
              </w:rPr>
              <w:t>光学参数</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对比度：1000:1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液晶刷新频率：标准值 120HZ，48HZ/50HZ/60HZ/72HZ 同步信号自适应</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透光率：35%，±2%</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响应时间：2.0ms，室温环境下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可视角度：80°</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电性参数</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锂电池：80mAH</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充电时间：2.5Hr</w:t>
            </w:r>
            <w:r>
              <w:rPr>
                <w:rFonts w:hint="eastAsia" w:ascii="宋体" w:hAnsi="宋体" w:eastAsia="宋体" w:cs="宋体"/>
                <w:kern w:val="0"/>
                <w:sz w:val="18"/>
                <w:szCs w:val="18"/>
              </w:rPr>
              <w:br w:type="textWrapping"/>
            </w:r>
            <w:r>
              <w:rPr>
                <w:rFonts w:hint="eastAsia" w:ascii="宋体" w:hAnsi="宋体" w:eastAsia="宋体" w:cs="宋体"/>
                <w:kern w:val="0"/>
                <w:sz w:val="18"/>
                <w:szCs w:val="18"/>
              </w:rPr>
              <w:t>LED 配件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 / 3</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充电电流：50mA</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额定工作电压：3.7V</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额定工作电流：0.7mA，±0.1mA</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关机电流：12uA，±1.0uA</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同步方式：RF（射频）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接收频率：2.4G</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接收灵敏度：-94.5dBm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基本参数</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整体重量：40g，±1g</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连续工作时间：60Hr</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工作环境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工作温度：0℃-40℃</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存储温度：-20℃-60℃</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工作湿度：20%-80%RH</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大气压力：86kPa-106kPa</w:t>
            </w:r>
          </w:p>
        </w:tc>
        <w:tc>
          <w:tcPr>
            <w:tcW w:w="520" w:type="dxa"/>
            <w:tcBorders>
              <w:top w:val="nil"/>
              <w:left w:val="nil"/>
              <w:bottom w:val="single" w:color="auto" w:sz="4" w:space="0"/>
              <w:right w:val="single" w:color="auto" w:sz="4" w:space="0"/>
            </w:tcBorders>
            <w:shd w:val="clear" w:color="000000" w:fill="FFFFFF"/>
            <w:vAlign w:val="center"/>
          </w:tcPr>
          <w:p w14:paraId="48EA08DA">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60</w:t>
            </w:r>
          </w:p>
        </w:tc>
        <w:tc>
          <w:tcPr>
            <w:tcW w:w="520" w:type="dxa"/>
            <w:tcBorders>
              <w:top w:val="nil"/>
              <w:left w:val="nil"/>
              <w:bottom w:val="single" w:color="auto" w:sz="4" w:space="0"/>
              <w:right w:val="single" w:color="auto" w:sz="4" w:space="0"/>
            </w:tcBorders>
            <w:shd w:val="clear" w:color="000000" w:fill="FFFFFF"/>
            <w:vAlign w:val="center"/>
          </w:tcPr>
          <w:p w14:paraId="0ED270BC">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个</w:t>
            </w:r>
          </w:p>
        </w:tc>
      </w:tr>
      <w:tr w14:paraId="40BCFF83">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37851D7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9</w:t>
            </w:r>
          </w:p>
        </w:tc>
        <w:tc>
          <w:tcPr>
            <w:tcW w:w="756" w:type="dxa"/>
            <w:tcBorders>
              <w:top w:val="nil"/>
              <w:left w:val="nil"/>
              <w:bottom w:val="single" w:color="auto" w:sz="4" w:space="0"/>
              <w:right w:val="single" w:color="auto" w:sz="4" w:space="0"/>
            </w:tcBorders>
            <w:shd w:val="clear" w:color="000000" w:fill="FFFFFF"/>
            <w:vAlign w:val="center"/>
          </w:tcPr>
          <w:p w14:paraId="5130EDB7">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快门式3D发射器</w:t>
            </w:r>
          </w:p>
        </w:tc>
        <w:tc>
          <w:tcPr>
            <w:tcW w:w="8264" w:type="dxa"/>
            <w:tcBorders>
              <w:top w:val="nil"/>
              <w:left w:val="nil"/>
              <w:bottom w:val="single" w:color="auto" w:sz="4" w:space="0"/>
              <w:right w:val="single" w:color="auto" w:sz="4" w:space="0"/>
            </w:tcBorders>
            <w:shd w:val="clear" w:color="000000" w:fill="FFFFFF"/>
            <w:vAlign w:val="center"/>
          </w:tcPr>
          <w:p w14:paraId="37AFF8AE">
            <w:pPr>
              <w:widowControl/>
              <w:rPr>
                <w:rFonts w:hint="eastAsia" w:ascii="宋体" w:hAnsi="宋体" w:eastAsia="宋体" w:cs="宋体"/>
                <w:kern w:val="0"/>
                <w:sz w:val="18"/>
                <w:szCs w:val="18"/>
              </w:rPr>
            </w:pPr>
            <w:r>
              <w:rPr>
                <w:rFonts w:hint="eastAsia" w:ascii="宋体" w:hAnsi="宋体" w:eastAsia="宋体" w:cs="宋体"/>
                <w:kern w:val="0"/>
                <w:sz w:val="18"/>
                <w:szCs w:val="18"/>
              </w:rPr>
              <w:t>光学参数</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对比度：1000:1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液晶刷新频率：标准值 120HZ，48HZ/50HZ/60HZ/72HZ 同步信号自适应</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透光率：35%，±2%</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响应时间：2.0ms，室温环境下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可视角度：80°</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电性参数</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锂电池：80mAH</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充电时间：2.5Hr</w:t>
            </w:r>
            <w:r>
              <w:rPr>
                <w:rFonts w:hint="eastAsia" w:ascii="宋体" w:hAnsi="宋体" w:eastAsia="宋体" w:cs="宋体"/>
                <w:kern w:val="0"/>
                <w:sz w:val="18"/>
                <w:szCs w:val="18"/>
              </w:rPr>
              <w:br w:type="textWrapping"/>
            </w:r>
            <w:r>
              <w:rPr>
                <w:rFonts w:hint="eastAsia" w:ascii="宋体" w:hAnsi="宋体" w:eastAsia="宋体" w:cs="宋体"/>
                <w:kern w:val="0"/>
                <w:sz w:val="18"/>
                <w:szCs w:val="18"/>
              </w:rPr>
              <w:t>LED 配件</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 / 3</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充电电流：50mA</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额定工作电压：3.7V</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额定工作电流：0.7mA，±0.1mA</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关机电流：12uA，±1.0uA</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同步方式：RF（射频）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接收频率：2.4G</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接收灵敏度：-94.5dBm</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基本参数</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整体重量：40g，±1g</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连续工作时间：60Hr</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工作环境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工作温度：0℃-40℃</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存储温度：-20℃-60℃</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工作湿度：20%-80%RH</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大气压力：86kPa-106kPa</w:t>
            </w:r>
          </w:p>
        </w:tc>
        <w:tc>
          <w:tcPr>
            <w:tcW w:w="520" w:type="dxa"/>
            <w:tcBorders>
              <w:top w:val="nil"/>
              <w:left w:val="nil"/>
              <w:bottom w:val="single" w:color="auto" w:sz="4" w:space="0"/>
              <w:right w:val="single" w:color="auto" w:sz="4" w:space="0"/>
            </w:tcBorders>
            <w:shd w:val="clear" w:color="000000" w:fill="FFFFFF"/>
            <w:vAlign w:val="center"/>
          </w:tcPr>
          <w:p w14:paraId="40392F5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57A430C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18CD60AA">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3BF18BC5">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756" w:type="dxa"/>
            <w:tcBorders>
              <w:top w:val="nil"/>
              <w:left w:val="nil"/>
              <w:bottom w:val="single" w:color="auto" w:sz="4" w:space="0"/>
              <w:right w:val="single" w:color="auto" w:sz="4" w:space="0"/>
            </w:tcBorders>
            <w:shd w:val="clear" w:color="000000" w:fill="FFFFFF"/>
            <w:vAlign w:val="center"/>
          </w:tcPr>
          <w:p w14:paraId="7D60FF14">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专业教学扩声软件</w:t>
            </w:r>
          </w:p>
        </w:tc>
        <w:tc>
          <w:tcPr>
            <w:tcW w:w="8264" w:type="dxa"/>
            <w:tcBorders>
              <w:top w:val="nil"/>
              <w:left w:val="nil"/>
              <w:bottom w:val="single" w:color="auto" w:sz="4" w:space="0"/>
              <w:right w:val="single" w:color="auto" w:sz="4" w:space="0"/>
            </w:tcBorders>
            <w:shd w:val="clear" w:color="000000" w:fill="FFFFFF"/>
            <w:vAlign w:val="center"/>
          </w:tcPr>
          <w:p w14:paraId="2A4BC346">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1、支持管理吊麦、无线话筒、有线话筒、各种音频输入和输出，实现控制和管理。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2、支持吊麦控制功能，吊麦输入支持音量显示、静音开关、增益调节、幻象供电开关、本地非线性处理、啸叫抑制、本地噪声抑制、混响抑制参数调节。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3、支持有线麦克风控制功能，幻象供电有线麦克风输入支持音量显示、静音开关、增益调节、幻象供电开关，可精确控制音频输入状态，提升音频质量与操作便捷性。</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▲4、支持U段无线麦克风控制功能，U段无线麦克风输入支持音量显示、静音开关、增益调节，具备自动扫频和红外对频功能，能显示麦克风音量和信号强度。（提供功能界面截图佐证）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5、支持一线制鹅颈话筒控制功能，鹅颈话筒输入支持音量显示、静音开关、增益调节，并具备≥3路底座插锁开关管理，支持在平台内录入NFC卡数据，并实现扩声系统开关管理。（提供功能界面截图佐证）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支持调节输入通道均衡器功能，吊麦输入通道具有≥7段参量均衡器，无线话筒、有线话筒输入通道具有≥5段参量均衡器同时提供≥10段图示均衡器；支持调整音频信号中不同频率范围的音量，修正音频的音色和频谱平衡，达到更好的听觉效果和音频表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支持调节输出通道均衡器功能，每路输出通道都具有≥12段参量均衡器，提供10、15、31段图示均衡器≥3种可选；支持调整音频信号中不同频率范围的音量，修正音频的音色和频谱平衡，达到更好的听觉效果和音频表现。</w:t>
            </w:r>
            <w:r>
              <w:rPr>
                <w:rFonts w:hint="eastAsia" w:ascii="宋体" w:hAnsi="宋体" w:eastAsia="宋体" w:cs="宋体"/>
                <w:kern w:val="0"/>
                <w:sz w:val="20"/>
                <w:szCs w:val="20"/>
              </w:rPr>
              <w:br w:type="textWrapping"/>
            </w:r>
            <w:r>
              <w:rPr>
                <w:rFonts w:hint="eastAsia" w:ascii="宋体" w:hAnsi="宋体" w:eastAsia="宋体" w:cs="宋体"/>
                <w:kern w:val="0"/>
                <w:sz w:val="20"/>
                <w:szCs w:val="20"/>
              </w:rPr>
              <w:t>8、支持调节自动增益功能，自动调整音频信号的增益（音量），实现不同音量的音频输入保持统一输出音频音量。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9、支持调节反馈抑制功能，可以消除或减轻音频系统中可能出现的噪音或哨音等问题，以确保音频输出的清晰和稳定。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10、支持调节回声消除功能，可以消除声音在房间、空间或传输路径中反射产生的回声，避免产生嘈杂和混乱的听觉体验。</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11、支持调节环境降噪功能，可有效降低背景噪音，提升音频的清晰度。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12、支持调节音频矩阵功能，允许用户对麦克风处理器所有音频输入信号和输出信号进行灵活的路由、混合和处理，满足不同应用场景的需求。</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▲13、支持中控功能，将处理器功能生成对应功能的外部中控系统指令码，可配置双向RS-232和RS-485接口，生成指令码用于外部中控系统，方便外部中控系统对接处理器，实现管控。（提供功能界面截图佐证）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14、支持NFC管理功能，支持NFC的读卡和写卡，并发送到话筒中，支持刷卡规则的管理功能，能够实现快速身份验证和设备配置，提高用户操作的便利性和安全性。</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15、支持跨平台使用，支持运行于windows操作系统、国产操作系统和Mac OS操作系统。</w:t>
            </w:r>
          </w:p>
        </w:tc>
        <w:tc>
          <w:tcPr>
            <w:tcW w:w="520" w:type="dxa"/>
            <w:tcBorders>
              <w:top w:val="nil"/>
              <w:left w:val="nil"/>
              <w:bottom w:val="single" w:color="auto" w:sz="4" w:space="0"/>
              <w:right w:val="single" w:color="auto" w:sz="4" w:space="0"/>
            </w:tcBorders>
            <w:shd w:val="clear" w:color="000000" w:fill="FFFFFF"/>
            <w:vAlign w:val="center"/>
          </w:tcPr>
          <w:p w14:paraId="45B2F411">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1</w:t>
            </w:r>
          </w:p>
        </w:tc>
        <w:tc>
          <w:tcPr>
            <w:tcW w:w="520" w:type="dxa"/>
            <w:tcBorders>
              <w:top w:val="nil"/>
              <w:left w:val="nil"/>
              <w:bottom w:val="single" w:color="auto" w:sz="4" w:space="0"/>
              <w:right w:val="single" w:color="auto" w:sz="4" w:space="0"/>
            </w:tcBorders>
            <w:shd w:val="clear" w:color="000000" w:fill="FFFFFF"/>
            <w:vAlign w:val="center"/>
          </w:tcPr>
          <w:p w14:paraId="2C4278DB">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套</w:t>
            </w:r>
          </w:p>
        </w:tc>
      </w:tr>
      <w:tr w14:paraId="1AA8EACC">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4D109A99">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11</w:t>
            </w:r>
          </w:p>
        </w:tc>
        <w:tc>
          <w:tcPr>
            <w:tcW w:w="756" w:type="dxa"/>
            <w:tcBorders>
              <w:top w:val="nil"/>
              <w:left w:val="nil"/>
              <w:bottom w:val="single" w:color="auto" w:sz="4" w:space="0"/>
              <w:right w:val="single" w:color="auto" w:sz="4" w:space="0"/>
            </w:tcBorders>
            <w:shd w:val="clear" w:color="000000" w:fill="FFFFFF"/>
            <w:vAlign w:val="center"/>
          </w:tcPr>
          <w:p w14:paraId="08BBEBD4">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麦克风处理器</w:t>
            </w:r>
          </w:p>
        </w:tc>
        <w:tc>
          <w:tcPr>
            <w:tcW w:w="8264" w:type="dxa"/>
            <w:tcBorders>
              <w:top w:val="nil"/>
              <w:left w:val="nil"/>
              <w:bottom w:val="single" w:color="auto" w:sz="4" w:space="0"/>
              <w:right w:val="single" w:color="auto" w:sz="4" w:space="0"/>
            </w:tcBorders>
            <w:shd w:val="clear" w:color="000000" w:fill="FFFFFF"/>
            <w:vAlign w:val="center"/>
          </w:tcPr>
          <w:p w14:paraId="67F0339E">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▲1、具有多路音源输入输出，包括≥2组幻象供电MIC输入接口、≥1路RJ45 座式话筒输入接口、≥2路Line in接口、具有≥1路USB声卡双向音频接口、具有≥1路RS485、≥1路RS232接口、具有≥1路RJ45网络接口、≥2路Line out接口、≥2个定阻功放接口、≥1路3.5mm红外对频扩展接口。(需提供得到CMA或CNAS认可的检测机构出具的检测报告作为该技术参数证明材料)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★2、具备一线传输功能，通过网线接口连接桌面座式话筒，实现了一根线供电、数据通讯、音频传输三合一。(需提供得到CMA或CNAS认可的检测机构出具的检测报告作为该技术参数证明材料)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内置数字U段接收功能，可接入≥2个教学无线手持麦并同时使用。音频传输采用基于U段的话筒无线音频传输技术，无线音频传输满足640MHz至690MHz的频率调制范围，同时具备自动扫频与对频技术功能。(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4、USB接口具备双向传输功能，可以通过USB线连接到电脑或一体机，实现数字音频输入输出。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5、支持通过RS485、RS232接口对接中控设备，实现设备控制功能，包括但不限于音量、场景切换。</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具备远程控制功能，通过网络登录管理平台，实现远程切换场景，可预设≥8个不同参数的快捷切换场景；远程控制具备音频矩阵功能，实现≥8路音频输入和≥5路音频输出任意矩阵式配置，并支持对场景内每路输入、输出音频进行独立调节。(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7、内置数字功放，额定输出功率：≥2×30W（8Ω）。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8、具有≥2个无线话筒连接指示灯，用于指示无线麦连接状态；≥1个红外发射/指示灯，用于数字U段红外对频；≥1个电源指示灯，用于指示供电状态。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集成多种专业音频处理功能，通过客户端软件实现管理和控制，包括输入增益、啸叫抑制、噪声抑制、混响抑制、均衡器、闪避器、扩展器、压缩器、自动增益、反馈抑制、自动混音、回声消除、环境降噪、矩阵混音、分频器、压限器、延时器功能。(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音频处理器功能要求如下：</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①　支持每路输入增益调节，调节范围≥-72~12dB，并且可以单独设置静音或一键全部静音；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②　支持输入信号音效设置功能，输入信号可实现≥7档啸叫抑制调节，噪声抑制可实现≥-18dB~-6dB范围调节，混响抑制可实现≥30~200ms范围调节，并支持非线性处理开关。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③　支持均衡器设置功能，输入≥10段图示均衡器，输出3种图示均衡器可选，包括但不限于10、15、31段，频点可单独调节增益。</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④　支持闪避器设置功能，可单独设置开关，阈值≥-56~0dB范围可调，深度≥-40~0dB范围可调，启动时间≥1~5000ms范围可调，释放时间≥1~5000ms范围可调，保持时间≥1~60000ms范围可调。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⑤　支持扩展器设置功能，可单独设置开关，阈值≥-72~0dB范围可调，比率≥1~20范围可调，启动时间≥1~1000ms范围可调，释放时间≥1~1000ms范围可调。</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⑥　支持压缩器设置功能，可单独设置开关，阈值≥-48~0dB范围可调，比率≥1~20范围可调，启动时间≥1~1000ms范围可调，释放时间≥1~10000ms范围可调，软拐点范围≥0~20可选。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⑦　支持自动增益设置功能，可调节启动电平与目标电平，可对启动时间和释放时间进行调节，压缩比和最大增益值调节，软拐点范围0~30。</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⑧　支持反馈抑制功能，并且每路的移频范围≥-10dB~-3dB和≥3dB~10dB，支持陷波开关，陷波深度为≥-24dB~0dB，步长为≥1.5~9，可任意设置≥24个固定点+≥24个动态点。</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⑨　支持自动混音与优先级功能，可选择门限自动混音和增益共享自动混音两种，增益共享自动混音的设置下每路输入信号都支持≥-72dB~12dB范围单独调节，≥0-9级范围优先级控制。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⑩　支持回声消除功能，可单独设置开关任意输入与输出，回声等级≥3档可调。</w:t>
            </w:r>
            <w:r>
              <w:rPr>
                <w:rFonts w:hint="eastAsia" w:ascii="宋体" w:hAnsi="宋体" w:eastAsia="宋体" w:cs="宋体"/>
                <w:kern w:val="0"/>
                <w:sz w:val="20"/>
                <w:szCs w:val="20"/>
              </w:rPr>
              <w:br w:type="textWrapping"/>
            </w:r>
            <w:r>
              <w:rPr>
                <w:rFonts w:hint="eastAsia" w:ascii="MS Gothic" w:hAnsi="MS Gothic" w:eastAsia="MS Gothic" w:cs="宋体"/>
                <w:kern w:val="0"/>
                <w:sz w:val="20"/>
                <w:szCs w:val="20"/>
              </w:rPr>
              <w:t>⑪</w:t>
            </w:r>
            <w:r>
              <w:rPr>
                <w:rFonts w:hint="eastAsia" w:ascii="宋体" w:hAnsi="宋体" w:eastAsia="宋体" w:cs="宋体"/>
                <w:kern w:val="0"/>
                <w:sz w:val="20"/>
                <w:szCs w:val="20"/>
              </w:rPr>
              <w:t>　支持环境降噪功能，可单独设置开关任意输入与输出，降噪等级≥5档可调，最大降噪等级≥30dB。</w:t>
            </w:r>
            <w:r>
              <w:rPr>
                <w:rFonts w:hint="eastAsia" w:ascii="宋体" w:hAnsi="宋体" w:eastAsia="宋体" w:cs="宋体"/>
                <w:kern w:val="0"/>
                <w:sz w:val="20"/>
                <w:szCs w:val="20"/>
              </w:rPr>
              <w:br w:type="textWrapping"/>
            </w:r>
            <w:r>
              <w:rPr>
                <w:rFonts w:hint="eastAsia" w:ascii="MS Gothic" w:hAnsi="MS Gothic" w:eastAsia="MS Gothic" w:cs="宋体"/>
                <w:kern w:val="0"/>
                <w:sz w:val="20"/>
                <w:szCs w:val="20"/>
              </w:rPr>
              <w:t>⑫</w:t>
            </w:r>
            <w:r>
              <w:rPr>
                <w:rFonts w:hint="eastAsia" w:ascii="宋体" w:hAnsi="宋体" w:eastAsia="宋体" w:cs="宋体"/>
                <w:kern w:val="0"/>
                <w:sz w:val="20"/>
                <w:szCs w:val="20"/>
              </w:rPr>
              <w:t>　支持矩阵显示和控制功能，通过矩阵的方式显示输入通道与输出通道的通断设置，并以≥6种颜色显示通道是否被使用，包含但不限于以下状态：通道的自动混音、反馈抑制、回声消除、环境降噪是否启用。</w:t>
            </w:r>
            <w:r>
              <w:rPr>
                <w:rFonts w:hint="eastAsia" w:ascii="宋体" w:hAnsi="宋体" w:eastAsia="宋体" w:cs="宋体"/>
                <w:kern w:val="0"/>
                <w:sz w:val="20"/>
                <w:szCs w:val="20"/>
              </w:rPr>
              <w:br w:type="textWrapping"/>
            </w:r>
            <w:r>
              <w:rPr>
                <w:rFonts w:hint="eastAsia" w:ascii="MS Gothic" w:hAnsi="MS Gothic" w:eastAsia="MS Gothic" w:cs="宋体"/>
                <w:kern w:val="0"/>
                <w:sz w:val="20"/>
                <w:szCs w:val="20"/>
              </w:rPr>
              <w:t>⑬</w:t>
            </w:r>
            <w:r>
              <w:rPr>
                <w:rFonts w:hint="eastAsia" w:ascii="宋体" w:hAnsi="宋体" w:eastAsia="宋体" w:cs="宋体"/>
                <w:kern w:val="0"/>
                <w:sz w:val="20"/>
                <w:szCs w:val="20"/>
              </w:rPr>
              <w:t>　支持分频器设置功能，高低通可单独设置开关，每个功能有≥3个常用滤波器，斜率范围≥6~48dB/Oct可调，频率范围≥20~20000Hz可调，增益范围≥-24~18dB可调。</w:t>
            </w:r>
            <w:r>
              <w:rPr>
                <w:rFonts w:hint="eastAsia" w:ascii="宋体" w:hAnsi="宋体" w:eastAsia="宋体" w:cs="宋体"/>
                <w:kern w:val="0"/>
                <w:sz w:val="20"/>
                <w:szCs w:val="20"/>
              </w:rPr>
              <w:br w:type="textWrapping"/>
            </w:r>
            <w:r>
              <w:rPr>
                <w:rFonts w:hint="eastAsia" w:ascii="MS Gothic" w:hAnsi="MS Gothic" w:eastAsia="MS Gothic" w:cs="宋体"/>
                <w:kern w:val="0"/>
                <w:sz w:val="20"/>
                <w:szCs w:val="20"/>
              </w:rPr>
              <w:t>⑭</w:t>
            </w:r>
            <w:r>
              <w:rPr>
                <w:rFonts w:hint="eastAsia" w:ascii="宋体" w:hAnsi="宋体" w:eastAsia="宋体" w:cs="宋体"/>
                <w:kern w:val="0"/>
                <w:sz w:val="20"/>
                <w:szCs w:val="20"/>
              </w:rPr>
              <w:t>　支持限幅器设置功能，阈值范围≥-90~0dB可调，软拐点范围≥0~20dB可调，建立时间范围≥1~1000ms可调，释放时间范围≥1~10000ms可调。</w:t>
            </w:r>
            <w:r>
              <w:rPr>
                <w:rFonts w:hint="eastAsia" w:ascii="宋体" w:hAnsi="宋体" w:eastAsia="宋体" w:cs="宋体"/>
                <w:kern w:val="0"/>
                <w:sz w:val="20"/>
                <w:szCs w:val="20"/>
              </w:rPr>
              <w:br w:type="textWrapping"/>
            </w:r>
            <w:r>
              <w:rPr>
                <w:rFonts w:hint="eastAsia" w:ascii="MS Gothic" w:hAnsi="MS Gothic" w:eastAsia="MS Gothic" w:cs="宋体"/>
                <w:kern w:val="0"/>
                <w:sz w:val="20"/>
                <w:szCs w:val="20"/>
              </w:rPr>
              <w:t>⑮</w:t>
            </w:r>
            <w:r>
              <w:rPr>
                <w:rFonts w:hint="eastAsia" w:ascii="宋体" w:hAnsi="宋体" w:eastAsia="宋体" w:cs="宋体"/>
                <w:kern w:val="0"/>
                <w:sz w:val="20"/>
                <w:szCs w:val="20"/>
              </w:rPr>
              <w:t>　支持延时器设置功能，可单独设置开关，延时时间范围≥0~2000ms可调，也可以根据距离进行延时器调节，距离范围≥0~680m可调并自动匹配延时器。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10、具备远程固件升级功能，支持每个教室的音频设置参数进行备份和还原。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具有麦克风设置功能，可同时查看和设置≥2只U段麦克风，查看麦克风的RF与AF信号强度，可进行自动扫频和红外对频设置，可手动调节频率，话筒≥7档发射功率可调；可查看座式话筒的≥3个充电口状态，可通过软件开关锁，可选择USB声卡输入信号。</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12、质保服务：提供原厂针对本项目的三年售后服务承诺函。</w:t>
            </w:r>
          </w:p>
        </w:tc>
        <w:tc>
          <w:tcPr>
            <w:tcW w:w="520" w:type="dxa"/>
            <w:tcBorders>
              <w:top w:val="nil"/>
              <w:left w:val="nil"/>
              <w:bottom w:val="single" w:color="auto" w:sz="4" w:space="0"/>
              <w:right w:val="single" w:color="auto" w:sz="4" w:space="0"/>
            </w:tcBorders>
            <w:shd w:val="clear" w:color="000000" w:fill="FFFFFF"/>
            <w:vAlign w:val="center"/>
          </w:tcPr>
          <w:p w14:paraId="48203AC2">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1</w:t>
            </w:r>
          </w:p>
        </w:tc>
        <w:tc>
          <w:tcPr>
            <w:tcW w:w="520" w:type="dxa"/>
            <w:tcBorders>
              <w:top w:val="nil"/>
              <w:left w:val="nil"/>
              <w:bottom w:val="single" w:color="auto" w:sz="4" w:space="0"/>
              <w:right w:val="single" w:color="auto" w:sz="4" w:space="0"/>
            </w:tcBorders>
            <w:shd w:val="clear" w:color="000000" w:fill="FFFFFF"/>
            <w:vAlign w:val="center"/>
          </w:tcPr>
          <w:p w14:paraId="30C4D99E">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台</w:t>
            </w:r>
          </w:p>
        </w:tc>
      </w:tr>
      <w:tr w14:paraId="1ABBD952">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0388146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12</w:t>
            </w:r>
          </w:p>
        </w:tc>
        <w:tc>
          <w:tcPr>
            <w:tcW w:w="756" w:type="dxa"/>
            <w:tcBorders>
              <w:top w:val="nil"/>
              <w:left w:val="nil"/>
              <w:bottom w:val="single" w:color="auto" w:sz="4" w:space="0"/>
              <w:right w:val="single" w:color="auto" w:sz="4" w:space="0"/>
            </w:tcBorders>
            <w:shd w:val="clear" w:color="000000" w:fill="FFFFFF"/>
            <w:vAlign w:val="center"/>
          </w:tcPr>
          <w:p w14:paraId="3E8FA0E4">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触摸屏</w:t>
            </w:r>
          </w:p>
        </w:tc>
        <w:tc>
          <w:tcPr>
            <w:tcW w:w="8264" w:type="dxa"/>
            <w:tcBorders>
              <w:top w:val="nil"/>
              <w:left w:val="nil"/>
              <w:bottom w:val="single" w:color="auto" w:sz="4" w:space="0"/>
              <w:right w:val="single" w:color="auto" w:sz="4" w:space="0"/>
            </w:tcBorders>
            <w:shd w:val="clear" w:color="000000" w:fill="FFFFFF"/>
            <w:vAlign w:val="center"/>
          </w:tcPr>
          <w:p w14:paraId="423D9F47">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1、支持模块隐藏功能，可以将不需要使用的功能隐藏。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2、支持信息监测功能，通过面板查看主机各模块版本信息以及主机网络信息。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3、支持场景切换功能，预设≥8个场景，一键快速切换。</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★4、具有密码保护功能，防止设备被无关人员修改。</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★5、支持屏保功能，有≥8种屏保时间可以切换。</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6、支持查看输入输出各通道增益数值，可以控制通道静音、设置U段麦克风的频率、支持配置自动扫频和红外对频功能。</w:t>
            </w:r>
          </w:p>
        </w:tc>
        <w:tc>
          <w:tcPr>
            <w:tcW w:w="520" w:type="dxa"/>
            <w:tcBorders>
              <w:top w:val="nil"/>
              <w:left w:val="nil"/>
              <w:bottom w:val="single" w:color="auto" w:sz="4" w:space="0"/>
              <w:right w:val="single" w:color="auto" w:sz="4" w:space="0"/>
            </w:tcBorders>
            <w:shd w:val="clear" w:color="000000" w:fill="FFFFFF"/>
            <w:vAlign w:val="center"/>
          </w:tcPr>
          <w:p w14:paraId="2A884DC9">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1</w:t>
            </w:r>
          </w:p>
        </w:tc>
        <w:tc>
          <w:tcPr>
            <w:tcW w:w="520" w:type="dxa"/>
            <w:tcBorders>
              <w:top w:val="nil"/>
              <w:left w:val="nil"/>
              <w:bottom w:val="single" w:color="auto" w:sz="4" w:space="0"/>
              <w:right w:val="single" w:color="auto" w:sz="4" w:space="0"/>
            </w:tcBorders>
            <w:shd w:val="clear" w:color="000000" w:fill="FFFFFF"/>
            <w:vAlign w:val="center"/>
          </w:tcPr>
          <w:p w14:paraId="4102FBED">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台</w:t>
            </w:r>
          </w:p>
        </w:tc>
      </w:tr>
      <w:tr w14:paraId="5F4E6EAF">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5E3C23B9">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13</w:t>
            </w:r>
          </w:p>
        </w:tc>
        <w:tc>
          <w:tcPr>
            <w:tcW w:w="756" w:type="dxa"/>
            <w:tcBorders>
              <w:top w:val="nil"/>
              <w:left w:val="nil"/>
              <w:bottom w:val="single" w:color="auto" w:sz="4" w:space="0"/>
              <w:right w:val="single" w:color="auto" w:sz="4" w:space="0"/>
            </w:tcBorders>
            <w:shd w:val="clear" w:color="000000" w:fill="FFFFFF"/>
            <w:vAlign w:val="center"/>
          </w:tcPr>
          <w:p w14:paraId="30BCF94F">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教师指向性麦</w:t>
            </w:r>
          </w:p>
        </w:tc>
        <w:tc>
          <w:tcPr>
            <w:tcW w:w="8264" w:type="dxa"/>
            <w:tcBorders>
              <w:top w:val="nil"/>
              <w:left w:val="nil"/>
              <w:bottom w:val="single" w:color="auto" w:sz="4" w:space="0"/>
              <w:right w:val="single" w:color="auto" w:sz="4" w:space="0"/>
            </w:tcBorders>
            <w:shd w:val="clear" w:color="000000" w:fill="FFFFFF"/>
            <w:vAlign w:val="center"/>
          </w:tcPr>
          <w:p w14:paraId="37F265E8">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★1、采用不锈钢圆柱形设计，内置单一指向性咪头，灵敏度达到≥-38dB，满足超远距离拾音。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2、超宽频响范围高度还原人声，内置48V幻电放大处理电路，可高质量长距离传输，搭配麦克风处理器使用。</w:t>
            </w:r>
          </w:p>
        </w:tc>
        <w:tc>
          <w:tcPr>
            <w:tcW w:w="520" w:type="dxa"/>
            <w:tcBorders>
              <w:top w:val="nil"/>
              <w:left w:val="nil"/>
              <w:bottom w:val="single" w:color="auto" w:sz="4" w:space="0"/>
              <w:right w:val="single" w:color="auto" w:sz="4" w:space="0"/>
            </w:tcBorders>
            <w:shd w:val="clear" w:color="000000" w:fill="FFFFFF"/>
            <w:vAlign w:val="center"/>
          </w:tcPr>
          <w:p w14:paraId="59E0FEE3">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2</w:t>
            </w:r>
          </w:p>
        </w:tc>
        <w:tc>
          <w:tcPr>
            <w:tcW w:w="520" w:type="dxa"/>
            <w:tcBorders>
              <w:top w:val="nil"/>
              <w:left w:val="nil"/>
              <w:bottom w:val="single" w:color="auto" w:sz="4" w:space="0"/>
              <w:right w:val="single" w:color="auto" w:sz="4" w:space="0"/>
            </w:tcBorders>
            <w:shd w:val="clear" w:color="000000" w:fill="FFFFFF"/>
            <w:vAlign w:val="center"/>
          </w:tcPr>
          <w:p w14:paraId="4F81EC8B">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套</w:t>
            </w:r>
          </w:p>
        </w:tc>
      </w:tr>
      <w:tr w14:paraId="170ED1C1">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49A4526D">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14</w:t>
            </w:r>
          </w:p>
        </w:tc>
        <w:tc>
          <w:tcPr>
            <w:tcW w:w="756" w:type="dxa"/>
            <w:tcBorders>
              <w:top w:val="nil"/>
              <w:left w:val="nil"/>
              <w:bottom w:val="single" w:color="auto" w:sz="4" w:space="0"/>
              <w:right w:val="single" w:color="auto" w:sz="4" w:space="0"/>
            </w:tcBorders>
            <w:shd w:val="clear" w:color="000000" w:fill="FFFFFF"/>
            <w:vAlign w:val="center"/>
          </w:tcPr>
          <w:p w14:paraId="788FAC76">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电容式鹅颈麦克风</w:t>
            </w:r>
          </w:p>
        </w:tc>
        <w:tc>
          <w:tcPr>
            <w:tcW w:w="8264" w:type="dxa"/>
            <w:tcBorders>
              <w:top w:val="nil"/>
              <w:left w:val="nil"/>
              <w:bottom w:val="single" w:color="auto" w:sz="4" w:space="0"/>
              <w:right w:val="single" w:color="auto" w:sz="4" w:space="0"/>
            </w:tcBorders>
            <w:shd w:val="clear" w:color="000000" w:fill="FFFFFF"/>
            <w:vAlign w:val="center"/>
          </w:tcPr>
          <w:p w14:paraId="07F8B17E">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自带磁吸充电座，具有≥550mm长度的电容式鹅颈麦克风，集成≥3路充电接口，能给≥2个手持麦和≥1个PPT翻页器充电，并实时显示每个充电口的充电状态。（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★2、具备刷卡解锁、锁定功能，具备通过中控触控屏幕界面解锁、锁定功能，具备网络远程控制解锁、锁定功能。（需提供得到CMA或CNAS认可的检测机构出具的检测报告作为该技术参数证明材料）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3、具备≥3路磁控锁管理功能，并可实现中控对磁控锁解锁、锁定。</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4、支持远程解锁、红外手持麦状态查询、电量状态显示功能。</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5、支持通过网络远程控制设备及设备状态显示，包括设备开关麦、开关锁、权限设置、卡号读取、充电状态、充电设备类型信息。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6、采用RJ45复合接口设计，实现供电、RS-485控制协议通讯、差分音频三合一传输。</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集成NFC刷卡功能，具备开关锁状态反馈功能，开锁时绿色提示灯亮，关锁时红色提示灯亮，同时可实现权限与开关锁状态联动控制。断电状态下，指示灯可以正常显示当前开关锁的状态。（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8、具备快速充电功能，提供状态反馈，充电中红色提示灯亮，充满电时蓝色提示灯亮。</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9、指向性：心形指向性</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10、频率响应等同或优于：80Hz~16KHz</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11、灵敏度：≥-41dB±1.5dB（0dB=1V/pa，at1KHz）</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12、充电接口：触点式</w:t>
            </w:r>
          </w:p>
        </w:tc>
        <w:tc>
          <w:tcPr>
            <w:tcW w:w="520" w:type="dxa"/>
            <w:tcBorders>
              <w:top w:val="nil"/>
              <w:left w:val="nil"/>
              <w:bottom w:val="single" w:color="auto" w:sz="4" w:space="0"/>
              <w:right w:val="single" w:color="auto" w:sz="4" w:space="0"/>
            </w:tcBorders>
            <w:shd w:val="clear" w:color="000000" w:fill="FFFFFF"/>
            <w:vAlign w:val="center"/>
          </w:tcPr>
          <w:p w14:paraId="47FD9A59">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1</w:t>
            </w:r>
          </w:p>
        </w:tc>
        <w:tc>
          <w:tcPr>
            <w:tcW w:w="520" w:type="dxa"/>
            <w:tcBorders>
              <w:top w:val="nil"/>
              <w:left w:val="nil"/>
              <w:bottom w:val="single" w:color="auto" w:sz="4" w:space="0"/>
              <w:right w:val="single" w:color="auto" w:sz="4" w:space="0"/>
            </w:tcBorders>
            <w:shd w:val="clear" w:color="000000" w:fill="FFFFFF"/>
            <w:vAlign w:val="center"/>
          </w:tcPr>
          <w:p w14:paraId="13B79A6A">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个</w:t>
            </w:r>
          </w:p>
        </w:tc>
      </w:tr>
      <w:tr w14:paraId="11B86B90">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5C0FE2B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15</w:t>
            </w:r>
          </w:p>
        </w:tc>
        <w:tc>
          <w:tcPr>
            <w:tcW w:w="756" w:type="dxa"/>
            <w:tcBorders>
              <w:top w:val="nil"/>
              <w:left w:val="nil"/>
              <w:bottom w:val="single" w:color="auto" w:sz="4" w:space="0"/>
              <w:right w:val="single" w:color="auto" w:sz="4" w:space="0"/>
            </w:tcBorders>
            <w:shd w:val="clear" w:color="000000" w:fill="FFFFFF"/>
            <w:vAlign w:val="center"/>
          </w:tcPr>
          <w:p w14:paraId="6FDDCD3C">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无线麦克风</w:t>
            </w:r>
          </w:p>
        </w:tc>
        <w:tc>
          <w:tcPr>
            <w:tcW w:w="8264" w:type="dxa"/>
            <w:tcBorders>
              <w:top w:val="nil"/>
              <w:left w:val="nil"/>
              <w:bottom w:val="single" w:color="auto" w:sz="4" w:space="0"/>
              <w:right w:val="single" w:color="auto" w:sz="4" w:space="0"/>
            </w:tcBorders>
            <w:shd w:val="clear" w:color="000000" w:fill="FFFFFF"/>
            <w:vAlign w:val="center"/>
          </w:tcPr>
          <w:p w14:paraId="654A8185">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采用基于数字U段的话筒无线音频传输技术和国产化主控芯片，无线音频传输应满足640MHz至690MHz的频率调制范围，空旷处使用距离≥30米，同时应具备自动扫频与对频技术功能。（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2、内置3.5mm耳机接口，可搭配头戴、领夹麦克风接入使用。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具有OLED显示屏和物理按键，显示屏的显示内容包括频率、音量、开关麦状态、电量、功率等级参数，并且具备音量+按键、音量-按键、电源开关键，物理按键具备清晰的按压反馈，电源开关键长按开关机，短按开关麦。（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▲4、具有≥两种充电方式，包括座式话筒充电座触点充电和TYPE-C充电。（需提供得到CMA或CNAS认可的检测机构出具的检测报告作为该技术参数证明材料）</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5、具备智能功耗管理功能，静音后一段时间内无操作麦克风将会自动关机。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6、具备≥10档音量调节和≥3档功率调节功能。</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7、具备无感接入功能，开机自动对频，实现无线麦克风自动接入系统。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8、具备2.4G调控功能，搭配控制主机，实现通过网络远程控制终端主机，实现无线调控麦克风参数，包括无线频率、发射功率、音量大小参数，无线调试距离≥10米。</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9、指向性：电容式驻极体</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10、频率响应等同或优于：80~16kHz（+1~-3dB）</w:t>
            </w:r>
          </w:p>
        </w:tc>
        <w:tc>
          <w:tcPr>
            <w:tcW w:w="520" w:type="dxa"/>
            <w:tcBorders>
              <w:top w:val="nil"/>
              <w:left w:val="nil"/>
              <w:bottom w:val="single" w:color="auto" w:sz="4" w:space="0"/>
              <w:right w:val="single" w:color="auto" w:sz="4" w:space="0"/>
            </w:tcBorders>
            <w:shd w:val="clear" w:color="000000" w:fill="FFFFFF"/>
            <w:vAlign w:val="center"/>
          </w:tcPr>
          <w:p w14:paraId="178318EE">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2</w:t>
            </w:r>
          </w:p>
        </w:tc>
        <w:tc>
          <w:tcPr>
            <w:tcW w:w="520" w:type="dxa"/>
            <w:tcBorders>
              <w:top w:val="nil"/>
              <w:left w:val="nil"/>
              <w:bottom w:val="single" w:color="auto" w:sz="4" w:space="0"/>
              <w:right w:val="single" w:color="auto" w:sz="4" w:space="0"/>
            </w:tcBorders>
            <w:shd w:val="clear" w:color="000000" w:fill="FFFFFF"/>
            <w:vAlign w:val="center"/>
          </w:tcPr>
          <w:p w14:paraId="3254C588">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个</w:t>
            </w:r>
          </w:p>
        </w:tc>
      </w:tr>
      <w:tr w14:paraId="2FA098E8">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79229595">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16</w:t>
            </w:r>
          </w:p>
        </w:tc>
        <w:tc>
          <w:tcPr>
            <w:tcW w:w="756" w:type="dxa"/>
            <w:tcBorders>
              <w:top w:val="nil"/>
              <w:left w:val="nil"/>
              <w:bottom w:val="single" w:color="auto" w:sz="4" w:space="0"/>
              <w:right w:val="single" w:color="auto" w:sz="4" w:space="0"/>
            </w:tcBorders>
            <w:shd w:val="clear" w:color="000000" w:fill="FFFFFF"/>
            <w:vAlign w:val="center"/>
          </w:tcPr>
          <w:p w14:paraId="18524148">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翻页笔</w:t>
            </w:r>
          </w:p>
        </w:tc>
        <w:tc>
          <w:tcPr>
            <w:tcW w:w="8264" w:type="dxa"/>
            <w:tcBorders>
              <w:top w:val="nil"/>
              <w:left w:val="nil"/>
              <w:bottom w:val="single" w:color="auto" w:sz="4" w:space="0"/>
              <w:right w:val="single" w:color="auto" w:sz="4" w:space="0"/>
            </w:tcBorders>
            <w:shd w:val="clear" w:color="000000" w:fill="FFFFFF"/>
            <w:vAlign w:val="center"/>
          </w:tcPr>
          <w:p w14:paraId="360B4368">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1、具有音量加功能：短按音量增加，可实现长按连续增加音量。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2、具有音量减功能：短按音量减小，可实现长按连续减小音量。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3、具有≥两种充电方式，包括充电座充电和TYPE-C充电。</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4、具有蓝色指示灯状态反馈功能，开机时指示灯长亮，关机时指示灯亮2S后熄灭；所有按键在按下时指示灯都会即按即亮；充电时指示灯快闪，满电时指示灯长亮。</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5、具有开/关机按键：长按2S开机，长按2S关机。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6、具有上翻按键：短按实现上翻页操作，长按时开启/退出全屏。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7、具有超链接按键：单击选择，双击超链接，长按切换窗口。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8、具有激光按键：激光按键即按即亮。</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9、具有下翻按键：短按实现下翻页操作，全屏时长按黑屏。</w:t>
            </w:r>
          </w:p>
        </w:tc>
        <w:tc>
          <w:tcPr>
            <w:tcW w:w="520" w:type="dxa"/>
            <w:tcBorders>
              <w:top w:val="nil"/>
              <w:left w:val="nil"/>
              <w:bottom w:val="single" w:color="auto" w:sz="4" w:space="0"/>
              <w:right w:val="single" w:color="auto" w:sz="4" w:space="0"/>
            </w:tcBorders>
            <w:shd w:val="clear" w:color="000000" w:fill="FFFFFF"/>
            <w:vAlign w:val="center"/>
          </w:tcPr>
          <w:p w14:paraId="4B4FF87C">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1</w:t>
            </w:r>
          </w:p>
        </w:tc>
        <w:tc>
          <w:tcPr>
            <w:tcW w:w="520" w:type="dxa"/>
            <w:tcBorders>
              <w:top w:val="nil"/>
              <w:left w:val="nil"/>
              <w:bottom w:val="single" w:color="auto" w:sz="4" w:space="0"/>
              <w:right w:val="single" w:color="auto" w:sz="4" w:space="0"/>
            </w:tcBorders>
            <w:shd w:val="clear" w:color="000000" w:fill="FFFFFF"/>
            <w:vAlign w:val="center"/>
          </w:tcPr>
          <w:p w14:paraId="48FA3FA4">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个</w:t>
            </w:r>
          </w:p>
        </w:tc>
      </w:tr>
      <w:tr w14:paraId="70C0F703">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2F54DE3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17</w:t>
            </w:r>
          </w:p>
        </w:tc>
        <w:tc>
          <w:tcPr>
            <w:tcW w:w="756" w:type="dxa"/>
            <w:tcBorders>
              <w:top w:val="nil"/>
              <w:left w:val="nil"/>
              <w:bottom w:val="single" w:color="auto" w:sz="4" w:space="0"/>
              <w:right w:val="single" w:color="auto" w:sz="4" w:space="0"/>
            </w:tcBorders>
            <w:shd w:val="clear" w:color="000000" w:fill="FFFFFF"/>
            <w:vAlign w:val="center"/>
          </w:tcPr>
          <w:p w14:paraId="08B8BCD9">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音箱</w:t>
            </w:r>
          </w:p>
        </w:tc>
        <w:tc>
          <w:tcPr>
            <w:tcW w:w="8264" w:type="dxa"/>
            <w:tcBorders>
              <w:top w:val="nil"/>
              <w:left w:val="nil"/>
              <w:bottom w:val="single" w:color="auto" w:sz="4" w:space="0"/>
              <w:right w:val="single" w:color="auto" w:sz="4" w:space="0"/>
            </w:tcBorders>
            <w:shd w:val="clear" w:color="000000" w:fill="FFFFFF"/>
            <w:vAlign w:val="center"/>
          </w:tcPr>
          <w:p w14:paraId="08BB4965">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★1、额定功率：≥100W</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2、峰值功率：≥400W</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3、频率范围（-10dB）：等同或优于90Hz-20KHz</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4、灵敏度(±3dB)：≥92dB</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5、低音单元：≥6.5"低音×1</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6、高音单元：≥3"纸盆高音×1</w:t>
            </w:r>
          </w:p>
        </w:tc>
        <w:tc>
          <w:tcPr>
            <w:tcW w:w="520" w:type="dxa"/>
            <w:tcBorders>
              <w:top w:val="nil"/>
              <w:left w:val="nil"/>
              <w:bottom w:val="single" w:color="auto" w:sz="4" w:space="0"/>
              <w:right w:val="single" w:color="auto" w:sz="4" w:space="0"/>
            </w:tcBorders>
            <w:shd w:val="clear" w:color="000000" w:fill="FFFFFF"/>
            <w:noWrap/>
            <w:vAlign w:val="center"/>
          </w:tcPr>
          <w:p w14:paraId="1666B952">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4</w:t>
            </w:r>
          </w:p>
        </w:tc>
        <w:tc>
          <w:tcPr>
            <w:tcW w:w="520" w:type="dxa"/>
            <w:tcBorders>
              <w:top w:val="nil"/>
              <w:left w:val="nil"/>
              <w:bottom w:val="single" w:color="auto" w:sz="4" w:space="0"/>
              <w:right w:val="single" w:color="auto" w:sz="4" w:space="0"/>
            </w:tcBorders>
            <w:shd w:val="clear" w:color="000000" w:fill="FFFFFF"/>
            <w:noWrap/>
            <w:vAlign w:val="center"/>
          </w:tcPr>
          <w:p w14:paraId="1A8FC55F">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只</w:t>
            </w:r>
          </w:p>
        </w:tc>
      </w:tr>
      <w:tr w14:paraId="4C0E5D14">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756D50E9">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18</w:t>
            </w:r>
          </w:p>
        </w:tc>
        <w:tc>
          <w:tcPr>
            <w:tcW w:w="756" w:type="dxa"/>
            <w:tcBorders>
              <w:top w:val="nil"/>
              <w:left w:val="nil"/>
              <w:bottom w:val="single" w:color="auto" w:sz="4" w:space="0"/>
              <w:right w:val="single" w:color="auto" w:sz="4" w:space="0"/>
            </w:tcBorders>
            <w:shd w:val="clear" w:color="000000" w:fill="FFFFFF"/>
            <w:vAlign w:val="center"/>
          </w:tcPr>
          <w:p w14:paraId="5E865067">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专业功放</w:t>
            </w:r>
          </w:p>
        </w:tc>
        <w:tc>
          <w:tcPr>
            <w:tcW w:w="8264" w:type="dxa"/>
            <w:tcBorders>
              <w:top w:val="nil"/>
              <w:left w:val="nil"/>
              <w:bottom w:val="single" w:color="auto" w:sz="4" w:space="0"/>
              <w:right w:val="single" w:color="auto" w:sz="4" w:space="0"/>
            </w:tcBorders>
            <w:shd w:val="clear" w:color="000000" w:fill="FFFFFF"/>
            <w:vAlign w:val="center"/>
          </w:tcPr>
          <w:p w14:paraId="51C1BA35">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1、标准≤1U机箱设计，采用D类数字功放设计方案。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2、标准XLR输入接口，和LINK输出口。</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3、电源采用开关电源技术，效率高，有效的抑制电源谐波。</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4、内置智能削峰限幅器，支持开机软启动，防止开机时向电网吸收大电流，干扰其它用电设备。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5、具有：过压保护，欠压保护，过流保护，直流保护，输出短路保护，温控风扇等功能。</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★6、输出功率：立体声@8Ω：≥200W×2；立体声@4Ω：≥400W×2。</w:t>
            </w:r>
          </w:p>
        </w:tc>
        <w:tc>
          <w:tcPr>
            <w:tcW w:w="520" w:type="dxa"/>
            <w:tcBorders>
              <w:top w:val="nil"/>
              <w:left w:val="nil"/>
              <w:bottom w:val="single" w:color="auto" w:sz="4" w:space="0"/>
              <w:right w:val="single" w:color="auto" w:sz="4" w:space="0"/>
            </w:tcBorders>
            <w:shd w:val="clear" w:color="000000" w:fill="FFFFFF"/>
            <w:noWrap/>
            <w:vAlign w:val="center"/>
          </w:tcPr>
          <w:p w14:paraId="122D5D55">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2</w:t>
            </w:r>
          </w:p>
        </w:tc>
        <w:tc>
          <w:tcPr>
            <w:tcW w:w="520" w:type="dxa"/>
            <w:tcBorders>
              <w:top w:val="nil"/>
              <w:left w:val="nil"/>
              <w:bottom w:val="single" w:color="auto" w:sz="4" w:space="0"/>
              <w:right w:val="single" w:color="auto" w:sz="4" w:space="0"/>
            </w:tcBorders>
            <w:shd w:val="clear" w:color="000000" w:fill="FFFFFF"/>
            <w:noWrap/>
            <w:vAlign w:val="center"/>
          </w:tcPr>
          <w:p w14:paraId="6438A8AE">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台</w:t>
            </w:r>
          </w:p>
        </w:tc>
      </w:tr>
      <w:tr w14:paraId="481FDA86">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54B08036">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19</w:t>
            </w:r>
          </w:p>
        </w:tc>
        <w:tc>
          <w:tcPr>
            <w:tcW w:w="756" w:type="dxa"/>
            <w:tcBorders>
              <w:top w:val="nil"/>
              <w:left w:val="nil"/>
              <w:bottom w:val="single" w:color="auto" w:sz="4" w:space="0"/>
              <w:right w:val="single" w:color="auto" w:sz="4" w:space="0"/>
            </w:tcBorders>
            <w:shd w:val="clear" w:color="000000" w:fill="FFFFFF"/>
            <w:vAlign w:val="center"/>
          </w:tcPr>
          <w:p w14:paraId="25D1CA5C">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防静电地板</w:t>
            </w:r>
          </w:p>
        </w:tc>
        <w:tc>
          <w:tcPr>
            <w:tcW w:w="8264" w:type="dxa"/>
            <w:tcBorders>
              <w:top w:val="nil"/>
              <w:left w:val="nil"/>
              <w:bottom w:val="single" w:color="auto" w:sz="4" w:space="0"/>
              <w:right w:val="single" w:color="auto" w:sz="4" w:space="0"/>
            </w:tcBorders>
            <w:shd w:val="clear" w:color="000000" w:fill="FFFFFF"/>
            <w:vAlign w:val="center"/>
          </w:tcPr>
          <w:p w14:paraId="5BEE8FF4">
            <w:pPr>
              <w:widowControl/>
              <w:rPr>
                <w:rFonts w:hint="eastAsia" w:ascii="宋体" w:hAnsi="宋体" w:eastAsia="宋体" w:cs="宋体"/>
                <w:kern w:val="0"/>
                <w:sz w:val="18"/>
                <w:szCs w:val="18"/>
              </w:rPr>
            </w:pPr>
            <w:r>
              <w:rPr>
                <w:rFonts w:hint="eastAsia" w:ascii="宋体" w:hAnsi="宋体" w:eastAsia="宋体" w:cs="宋体"/>
                <w:kern w:val="0"/>
                <w:sz w:val="18"/>
                <w:szCs w:val="18"/>
              </w:rPr>
              <w:t>活动地板、钢制活动地板幅面不小于600mm×600mm，瓷面厚度不小于4.0mm，中心集中载荷为150kg时，挠曲量1.5mm以下，中心集中载荷为300kg时，挠曲量2mm以下，支撑的承载能力大于1000kg</w:t>
            </w:r>
          </w:p>
        </w:tc>
        <w:tc>
          <w:tcPr>
            <w:tcW w:w="520" w:type="dxa"/>
            <w:tcBorders>
              <w:top w:val="nil"/>
              <w:left w:val="nil"/>
              <w:bottom w:val="single" w:color="auto" w:sz="4" w:space="0"/>
              <w:right w:val="single" w:color="auto" w:sz="4" w:space="0"/>
            </w:tcBorders>
            <w:shd w:val="clear" w:color="000000" w:fill="FFFFFF"/>
            <w:vAlign w:val="center"/>
          </w:tcPr>
          <w:p w14:paraId="0485413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153</w:t>
            </w:r>
          </w:p>
        </w:tc>
        <w:tc>
          <w:tcPr>
            <w:tcW w:w="520" w:type="dxa"/>
            <w:tcBorders>
              <w:top w:val="nil"/>
              <w:left w:val="nil"/>
              <w:bottom w:val="single" w:color="auto" w:sz="4" w:space="0"/>
              <w:right w:val="single" w:color="auto" w:sz="4" w:space="0"/>
            </w:tcBorders>
            <w:shd w:val="clear" w:color="000000" w:fill="FFFFFF"/>
            <w:vAlign w:val="center"/>
          </w:tcPr>
          <w:p w14:paraId="72788CA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55BE75FA">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0953B27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20</w:t>
            </w:r>
          </w:p>
        </w:tc>
        <w:tc>
          <w:tcPr>
            <w:tcW w:w="756" w:type="dxa"/>
            <w:tcBorders>
              <w:top w:val="nil"/>
              <w:left w:val="nil"/>
              <w:bottom w:val="single" w:color="auto" w:sz="4" w:space="0"/>
              <w:right w:val="single" w:color="auto" w:sz="4" w:space="0"/>
            </w:tcBorders>
            <w:shd w:val="clear" w:color="000000" w:fill="FFFFFF"/>
            <w:vAlign w:val="center"/>
          </w:tcPr>
          <w:p w14:paraId="1A724805">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图形影像终端</w:t>
            </w:r>
          </w:p>
        </w:tc>
        <w:tc>
          <w:tcPr>
            <w:tcW w:w="8264" w:type="dxa"/>
            <w:tcBorders>
              <w:top w:val="nil"/>
              <w:left w:val="nil"/>
              <w:bottom w:val="single" w:color="auto" w:sz="4" w:space="0"/>
              <w:right w:val="single" w:color="auto" w:sz="4" w:space="0"/>
            </w:tcBorders>
            <w:shd w:val="clear" w:color="000000" w:fill="FFFFFF"/>
            <w:vAlign w:val="center"/>
          </w:tcPr>
          <w:p w14:paraId="58D92BD5">
            <w:pPr>
              <w:widowControl/>
              <w:rPr>
                <w:rFonts w:hint="eastAsia" w:ascii="宋体" w:hAnsi="宋体" w:eastAsia="宋体" w:cs="宋体"/>
                <w:kern w:val="0"/>
                <w:sz w:val="18"/>
                <w:szCs w:val="18"/>
              </w:rPr>
            </w:pPr>
            <w:r>
              <w:rPr>
                <w:rFonts w:hint="eastAsia" w:ascii="宋体" w:hAnsi="宋体" w:eastAsia="宋体" w:cs="宋体"/>
                <w:kern w:val="0"/>
                <w:sz w:val="18"/>
                <w:szCs w:val="18"/>
              </w:rPr>
              <w:t>★1、CPU：国产CPU ≥8核处理器（X86架构，处理器主频≥3.0GHz）</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★2、内存：32G DDR4 3200Hz，支持DDR4*4，最大支持128GB；</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3、硬盘：M.2 nvme 2280 512G SSD，最高支持 1 个 3.5 寸+1 个2.5寸 SATA硬盘扩展</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★4、显卡：标配4G独立显卡；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5、声卡网卡：集成5.1声道声卡，千兆以太网卡*1；</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6、接口：10个USB接口(前置USB3.0 4个，后置2个USB3.0，4个USB2.0），2组音频接口（前2后3）；1 个千兆网口、1 个串口、1 组音频接口。</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★7、主板扩展接口：4个SATA3.0 6G接口，1个M.2 PCI-E x4接口(支持SATA3.0 &amp; NVME 2280 SSD自动识别)，不少于4个PCI-E 接口（2个PCI-E 3.0 x16，1个PCIe 3.0 x8、1个PCIe 3.0 x1接口）；</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8、BIOS：国产BIOS，支持PXE启动、网络唤醒（热）</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9、机箱电源：可立可卧放，机箱12L（350mm(深)*338mm（高）*102mm（宽）） ， ≥180W静音电源；</w:t>
            </w:r>
          </w:p>
        </w:tc>
        <w:tc>
          <w:tcPr>
            <w:tcW w:w="520" w:type="dxa"/>
            <w:tcBorders>
              <w:top w:val="nil"/>
              <w:left w:val="nil"/>
              <w:bottom w:val="single" w:color="auto" w:sz="4" w:space="0"/>
              <w:right w:val="single" w:color="auto" w:sz="4" w:space="0"/>
            </w:tcBorders>
            <w:shd w:val="clear" w:color="000000" w:fill="FFFFFF"/>
            <w:vAlign w:val="center"/>
          </w:tcPr>
          <w:p w14:paraId="5722BF86">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51</w:t>
            </w:r>
          </w:p>
        </w:tc>
        <w:tc>
          <w:tcPr>
            <w:tcW w:w="520" w:type="dxa"/>
            <w:tcBorders>
              <w:top w:val="nil"/>
              <w:left w:val="nil"/>
              <w:bottom w:val="single" w:color="auto" w:sz="4" w:space="0"/>
              <w:right w:val="single" w:color="auto" w:sz="4" w:space="0"/>
            </w:tcBorders>
            <w:shd w:val="clear" w:color="000000" w:fill="FFFFFF"/>
            <w:vAlign w:val="center"/>
          </w:tcPr>
          <w:p w14:paraId="530ED43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305E4298">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764556C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21</w:t>
            </w:r>
          </w:p>
        </w:tc>
        <w:tc>
          <w:tcPr>
            <w:tcW w:w="756" w:type="dxa"/>
            <w:tcBorders>
              <w:top w:val="nil"/>
              <w:left w:val="nil"/>
              <w:bottom w:val="single" w:color="auto" w:sz="4" w:space="0"/>
              <w:right w:val="single" w:color="auto" w:sz="4" w:space="0"/>
            </w:tcBorders>
            <w:shd w:val="clear" w:color="000000" w:fill="FFFFFF"/>
            <w:vAlign w:val="center"/>
          </w:tcPr>
          <w:p w14:paraId="53650778">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影像显示器</w:t>
            </w:r>
          </w:p>
        </w:tc>
        <w:tc>
          <w:tcPr>
            <w:tcW w:w="8264" w:type="dxa"/>
            <w:tcBorders>
              <w:top w:val="nil"/>
              <w:left w:val="nil"/>
              <w:bottom w:val="single" w:color="auto" w:sz="4" w:space="0"/>
              <w:right w:val="single" w:color="auto" w:sz="4" w:space="0"/>
            </w:tcBorders>
            <w:shd w:val="clear" w:color="000000" w:fill="FFFFFF"/>
            <w:vAlign w:val="center"/>
          </w:tcPr>
          <w:p w14:paraId="27674E1C">
            <w:pPr>
              <w:widowControl/>
              <w:rPr>
                <w:rFonts w:hint="eastAsia" w:ascii="宋体" w:hAnsi="宋体" w:eastAsia="宋体" w:cs="宋体"/>
                <w:kern w:val="0"/>
                <w:sz w:val="18"/>
                <w:szCs w:val="18"/>
              </w:rPr>
            </w:pPr>
            <w:r>
              <w:rPr>
                <w:rFonts w:hint="eastAsia" w:ascii="宋体" w:hAnsi="宋体" w:eastAsia="宋体" w:cs="宋体"/>
                <w:kern w:val="0"/>
                <w:sz w:val="18"/>
                <w:szCs w:val="18"/>
              </w:rPr>
              <w:t>★1、屏幕尺寸（对角）：27吋</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2、屏幕比例：16:9</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3、面板类型：WLED IPS硬屏技术</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4、亮度（典型值）：250cd/m²</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5、响应时间（典型值）：5ms（BW）</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6、最大分辨率 ：1920x1080@75Hz (HDMI)</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7、信号输入：模拟VGA,数字 HDMI</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8、接口：1*VGA+1*HDMI</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9、含有线键鼠套装</w:t>
            </w:r>
          </w:p>
        </w:tc>
        <w:tc>
          <w:tcPr>
            <w:tcW w:w="520" w:type="dxa"/>
            <w:tcBorders>
              <w:top w:val="nil"/>
              <w:left w:val="nil"/>
              <w:bottom w:val="single" w:color="auto" w:sz="4" w:space="0"/>
              <w:right w:val="single" w:color="auto" w:sz="4" w:space="0"/>
            </w:tcBorders>
            <w:shd w:val="clear" w:color="000000" w:fill="FFFFFF"/>
            <w:vAlign w:val="center"/>
          </w:tcPr>
          <w:p w14:paraId="1C52C6BD">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51</w:t>
            </w:r>
          </w:p>
        </w:tc>
        <w:tc>
          <w:tcPr>
            <w:tcW w:w="520" w:type="dxa"/>
            <w:tcBorders>
              <w:top w:val="nil"/>
              <w:left w:val="nil"/>
              <w:bottom w:val="single" w:color="auto" w:sz="4" w:space="0"/>
              <w:right w:val="single" w:color="auto" w:sz="4" w:space="0"/>
            </w:tcBorders>
            <w:shd w:val="clear" w:color="000000" w:fill="FFFFFF"/>
            <w:vAlign w:val="center"/>
          </w:tcPr>
          <w:p w14:paraId="4AA84D9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492B1B80">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1823585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22</w:t>
            </w:r>
          </w:p>
        </w:tc>
        <w:tc>
          <w:tcPr>
            <w:tcW w:w="756" w:type="dxa"/>
            <w:tcBorders>
              <w:top w:val="nil"/>
              <w:left w:val="nil"/>
              <w:bottom w:val="single" w:color="auto" w:sz="4" w:space="0"/>
              <w:right w:val="single" w:color="auto" w:sz="4" w:space="0"/>
            </w:tcBorders>
            <w:shd w:val="clear" w:color="000000" w:fill="FFFFFF"/>
            <w:vAlign w:val="center"/>
          </w:tcPr>
          <w:p w14:paraId="46F21288">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实训室终端管理平台</w:t>
            </w:r>
          </w:p>
        </w:tc>
        <w:tc>
          <w:tcPr>
            <w:tcW w:w="8264" w:type="dxa"/>
            <w:tcBorders>
              <w:top w:val="nil"/>
              <w:left w:val="nil"/>
              <w:bottom w:val="single" w:color="auto" w:sz="4" w:space="0"/>
              <w:right w:val="single" w:color="auto" w:sz="4" w:space="0"/>
            </w:tcBorders>
            <w:shd w:val="clear" w:color="000000" w:fill="FFFFFF"/>
            <w:vAlign w:val="center"/>
          </w:tcPr>
          <w:p w14:paraId="0FF25718">
            <w:pPr>
              <w:widowControl/>
              <w:rPr>
                <w:rFonts w:hint="eastAsia" w:ascii="宋体" w:hAnsi="宋体" w:eastAsia="宋体" w:cs="宋体"/>
                <w:kern w:val="0"/>
                <w:sz w:val="18"/>
                <w:szCs w:val="18"/>
              </w:rPr>
            </w:pPr>
            <w:r>
              <w:rPr>
                <w:rFonts w:hint="eastAsia" w:ascii="宋体" w:hAnsi="宋体" w:eastAsia="宋体" w:cs="宋体"/>
                <w:kern w:val="0"/>
                <w:sz w:val="18"/>
                <w:szCs w:val="18"/>
              </w:rPr>
              <w:t>★1、支持在一台计算机上安装Windows2012、Windows7、Windows8、Windows10、Windows11等多种桌面操作系统并进行引导和立即还原；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▲2、支持终端的统信UOS、麒麟KylinOS信创国产化操作系统设置立即还原、每天还原、每周还原、每月还原的还原方式并可创建还原点；（投标时提供国家级检测机构出具的带有CNAS或CMA标识的检测报告并加盖公章）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3、支持使用海光、兆芯芯片的终端部署安装；</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4、可新增分区或删除指定的分区，可设置系统不同分区的类型，支持自定义分区名称、分区容量、文件系统以及还原方式；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5、支持为不同分区设置不同的还原方式，还原方式涵盖随系统、每次还原、每天还原、每周还原、每月还原、手动还原及完全开放；</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6、分区类型支持设置为立即还原型启动分区、备份还原型启动分区、专属分区、共享分区、Linux交换分区及其他分区；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7、支持终端多网卡，可设置多网卡IP，差异拷贝可绑定任意一张网卡；</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8、支持国产终端电脑SSD硬盘和机械硬盘双硬盘保护模式和进行同传操作；（投标时提供国家级检测机构出具的带有CNAS或CMA标识的检测报告并加盖公章）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▲9、支持隐藏底层操作系统选单，有多个操作系统时，可设置默认进入某个操作系统，自定义进入系统的时间（时间可设置到秒）；（投标时提供国家级检测机构出具的带有CNAS或CMA标识的检测报告并加盖公章）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10、支持开机画面展示、操作系统托盘图标、倒计时关机、启用频道/虚拟系统/还原点等系统设置；</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11、支持机房批量部署，主动分析机器间的差异数据，只传输差异的数据，速度高达7GB/分钟，可支持超过1000台终端的批量部署；</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12、可对多个操作系统自动分配不同网段的IP地址；（投标时提供国家级检测机构出具的带有CNAS或CMA标识的检测报告并加盖公章）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13、支持对磁盘进行分区新增和删除，可设置分区还原方式，最多支持128个分区；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14、支持对同类型或未分配分区进行复制，复制后目标分区与源分区的数据一致，减少用户重复安装系统；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15、终端具备多硬盘时，可自定义设置纳入保护的硬盘，并支持保护状态的修改；</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16、可在现有安装好的统信UOS、麒麟KylinOS信创国产化操作系统下面复制出一个同样的频道系统，无需重新分区，该频道系统可以安装不同的应用软件；（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17.分配用户权限，用户在现有安装好的统信UOS、麒麟KylinOS信创国产化操作系统下面创建属于自己的专用虚拟系统，所安装的软件和保存的数据仅自己可以使用，其他用户无法查看、修改或删除；（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18.支持还原点管理，可对系统或频道创建多个状态的还原点，当系统故障时可快速将系统状态恢复至还原点，支持恢复还原点及删除还原点操作；</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19.支持设置客户端的黑名单进程、白名单进程、程序限制生效时间，黑名单及白名单的进程类别可通过手动添加、游戏进程、应用进程、系统自带和客户端获取，强行运行黑名单或非白名单内的进程时弹出禁止执行提示信息；</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20.支持对不同分组的所有在线客户端执行远程命令，远程命令涵盖系统命令、打开文件、运行程序或脚本、打开网址四类，命令可保存至命令列表留待后续使用，网页管理端显示客户端具体执行的命令信息以及执行结果；</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21.支持设置客户端外网的上行流量、下行流量、流量限制生效时间，限制策略不影响局域网内的内网网址访问及内网客户端之间的数据互传；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22.支持设置客户端的网络访问权限、白名单网址、白名单IP地址、白名单端口、网络限制生效时间，限制范围可设置面向外网或内网与外网的全部网络，限制解除后，网页管理端对应限制记录字段清空显示；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23.支持查询客户端的软件使用情况日志和上网操作记录日志，记录可导出为Excel表格；</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24.质保服务：提供</w:t>
            </w:r>
            <w:r>
              <w:rPr>
                <w:rFonts w:hint="eastAsia" w:ascii="宋体" w:hAnsi="宋体" w:eastAsia="宋体" w:cs="宋体"/>
                <w:kern w:val="0"/>
                <w:sz w:val="20"/>
                <w:szCs w:val="20"/>
              </w:rPr>
              <w:t>原厂</w:t>
            </w:r>
            <w:r>
              <w:rPr>
                <w:rFonts w:hint="eastAsia" w:ascii="宋体" w:hAnsi="宋体" w:eastAsia="宋体" w:cs="宋体"/>
                <w:kern w:val="0"/>
                <w:sz w:val="18"/>
                <w:szCs w:val="18"/>
              </w:rPr>
              <w:t>针对本项目的三年售后服务承诺函。</w:t>
            </w:r>
          </w:p>
        </w:tc>
        <w:tc>
          <w:tcPr>
            <w:tcW w:w="520" w:type="dxa"/>
            <w:tcBorders>
              <w:top w:val="nil"/>
              <w:left w:val="nil"/>
              <w:bottom w:val="single" w:color="auto" w:sz="4" w:space="0"/>
              <w:right w:val="single" w:color="auto" w:sz="4" w:space="0"/>
            </w:tcBorders>
            <w:shd w:val="clear" w:color="000000" w:fill="FFFFFF"/>
            <w:vAlign w:val="center"/>
          </w:tcPr>
          <w:p w14:paraId="193092B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17BE887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73D10C00">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00EABA9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23</w:t>
            </w:r>
          </w:p>
        </w:tc>
        <w:tc>
          <w:tcPr>
            <w:tcW w:w="756" w:type="dxa"/>
            <w:tcBorders>
              <w:top w:val="nil"/>
              <w:left w:val="nil"/>
              <w:bottom w:val="single" w:color="auto" w:sz="4" w:space="0"/>
              <w:right w:val="single" w:color="auto" w:sz="4" w:space="0"/>
            </w:tcBorders>
            <w:shd w:val="clear" w:color="000000" w:fill="FFFFFF"/>
            <w:vAlign w:val="center"/>
          </w:tcPr>
          <w:p w14:paraId="001BF10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教学管理系统</w:t>
            </w:r>
          </w:p>
        </w:tc>
        <w:tc>
          <w:tcPr>
            <w:tcW w:w="8264" w:type="dxa"/>
            <w:tcBorders>
              <w:top w:val="nil"/>
              <w:left w:val="nil"/>
              <w:bottom w:val="single" w:color="auto" w:sz="4" w:space="0"/>
              <w:right w:val="single" w:color="auto" w:sz="4" w:space="0"/>
            </w:tcBorders>
            <w:shd w:val="clear" w:color="000000" w:fill="FFFFFF"/>
            <w:vAlign w:val="center"/>
          </w:tcPr>
          <w:p w14:paraId="03D000FE">
            <w:pPr>
              <w:widowControl/>
              <w:rPr>
                <w:rFonts w:hint="eastAsia" w:ascii="宋体" w:hAnsi="宋体" w:eastAsia="宋体" w:cs="宋体"/>
                <w:kern w:val="0"/>
                <w:sz w:val="18"/>
                <w:szCs w:val="18"/>
              </w:rPr>
            </w:pPr>
            <w:r>
              <w:rPr>
                <w:rFonts w:hint="eastAsia" w:ascii="宋体" w:hAnsi="宋体" w:eastAsia="宋体" w:cs="宋体"/>
                <w:kern w:val="0"/>
                <w:sz w:val="18"/>
                <w:szCs w:val="18"/>
              </w:rPr>
              <w:t>1、支持屏幕广播功能，能够实现两种接收模式，包括学生全屏/窗口模式接收教师机广播的画面，全屏状态锁定学生鼠标和键盘；</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▲2、屏幕广播支持区域广播方式，教师端可选取一块区域广播给学生机；（投标时提供国家级检测机构出具的带有CNAS或CMA标识的检测报告并加盖公章）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3、支持影音广播，即使在终端未进入桌面的状态，也能够实现全体学生的影音广播，影音广播下支持视频的切换、暂停，并支持点击进度条任意地方以改变视频播放进度；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 xml:space="preserve">▲4、在屏幕广播之后连接上来的终端可直接接收屏幕广播内容，用户终端关闭虚拟桌面仍可同步广播教师机屏幕和视频，不会中断教学；（投标时提供国家级检测机构出具的带有CNAS或CMA标识的检测报告并加盖公章）   </w:t>
            </w:r>
            <w:bookmarkStart w:id="0" w:name="_GoBack"/>
            <w:bookmarkEnd w:id="0"/>
            <w:r>
              <w:rPr>
                <w:rFonts w:hint="eastAsia" w:ascii="宋体" w:hAnsi="宋体" w:eastAsia="宋体" w:cs="宋体"/>
                <w:kern w:val="0"/>
                <w:sz w:val="18"/>
                <w:szCs w:val="18"/>
              </w:rPr>
              <w:br w:type="textWrapping"/>
            </w:r>
            <w:r>
              <w:rPr>
                <w:rFonts w:hint="eastAsia" w:ascii="宋体" w:hAnsi="宋体" w:eastAsia="宋体" w:cs="宋体"/>
                <w:kern w:val="0"/>
                <w:sz w:val="18"/>
                <w:szCs w:val="18"/>
              </w:rPr>
              <w:t>5、教师可选定一个学生操作本机或操作教师机进行教学演示，并将该学生演示的画面广播给每一个学生；被广播的学生将全屏/窗口接收演示学生的画面，全屏状态键盘和鼠标被锁定；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6、支持遥控转播，教师端可对单个学生机进行遥控并转播到其它学生机桌面；</w:t>
            </w:r>
            <w:r>
              <w:rPr>
                <w:rFonts w:hint="eastAsia" w:ascii="宋体" w:hAnsi="宋体" w:eastAsia="宋体" w:cs="宋体"/>
                <w:kern w:val="0"/>
                <w:sz w:val="18"/>
                <w:szCs w:val="18"/>
              </w:rPr>
              <w:br w:type="textWrapping"/>
            </w:r>
            <w:r>
              <w:rPr>
                <w:rFonts w:hint="eastAsia" w:ascii="宋体" w:hAnsi="宋体" w:eastAsia="宋体" w:cs="宋体"/>
                <w:kern w:val="0"/>
                <w:sz w:val="18"/>
                <w:szCs w:val="18"/>
              </w:rPr>
              <w:t>7、支持遥控监看，教师可选定个别学生或所有学生进行屏幕监控，控制时可锁定学生机，也可不锁定学生机；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▲8、教师机可以连续监看所选学生机屏幕，每屏可监视多个学生,可设置每屏学生机的数量以及学生机屏幕轮循的时间间隔；（投标时提供国家级检测机构出具的带有CNAS或CMA标识的检测报告并加盖公章）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9、具备游戏互动教学功能，支持击鼓传花，电子抢答等互动方式；</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10、上课过程中，老师可对学生奖励小红花，教师机可显示小红花奖励排行榜，显示每个学生的奖励数量，并可向学生发布奖励排行榜，提升学生参与感和学习兴趣；</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11、教师机可控制学生机是否可开启麦克风进行对话，开启语音连麦后，教师和学生可通过麦克风对话，语音交流可被班级其它所有学生听到，便于课堂语音互动；</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12、教师可对学生进行电子点名，可以自定义院系、专业、班级等单位类别，可导入导出学生信息，可设置迟到时间，可显示签到人数；</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13、支持屏幕录制与回放，教师机可以将本机的操作过程、讲解录制为一个文件，内容可回放，并可通过屏幕广播给学生；</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14、支持电子白板功能，可用电子白版进行绘制演示，并可共享到学生机，支持教师和学生协作共同通过电子白版进行知识总结、画面制作等；</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▲15、支持黑屏肃静，教师可对学生执行黑屏肃静操作，能够自定义黑屏肃静的提示信息，支持手动解锁、按时解锁、按时长解锁；（投标时提供国家级检测机构出具的带有CNAS或CMA标识的检测报告并加盖公章）</w:t>
            </w:r>
            <w:r>
              <w:rPr>
                <w:rFonts w:hint="eastAsia" w:ascii="宋体" w:hAnsi="宋体" w:eastAsia="宋体" w:cs="宋体"/>
                <w:kern w:val="0"/>
                <w:sz w:val="18"/>
                <w:szCs w:val="18"/>
              </w:rPr>
              <w:br w:type="textWrapping"/>
            </w:r>
            <w:r>
              <w:rPr>
                <w:rFonts w:hint="eastAsia" w:ascii="宋体" w:hAnsi="宋体" w:eastAsia="宋体" w:cs="宋体"/>
                <w:kern w:val="0"/>
                <w:sz w:val="18"/>
                <w:szCs w:val="18"/>
              </w:rPr>
              <w:t>16、支持对学生的网络搜索进行关键字屏蔽，教师机设置限制搜索的关键词后，学生机通过浏览器搜索禁用的关键词，会自动弹出提示信息，或直接关闭学生机浏览器；</w:t>
            </w:r>
          </w:p>
        </w:tc>
        <w:tc>
          <w:tcPr>
            <w:tcW w:w="520" w:type="dxa"/>
            <w:tcBorders>
              <w:top w:val="nil"/>
              <w:left w:val="nil"/>
              <w:bottom w:val="single" w:color="auto" w:sz="4" w:space="0"/>
              <w:right w:val="single" w:color="auto" w:sz="4" w:space="0"/>
            </w:tcBorders>
            <w:shd w:val="clear" w:color="000000" w:fill="FFFFFF"/>
            <w:vAlign w:val="center"/>
          </w:tcPr>
          <w:p w14:paraId="54EDEB4C">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433C9C3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247F3776">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2C9AD53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24</w:t>
            </w:r>
          </w:p>
        </w:tc>
        <w:tc>
          <w:tcPr>
            <w:tcW w:w="756" w:type="dxa"/>
            <w:tcBorders>
              <w:top w:val="nil"/>
              <w:left w:val="nil"/>
              <w:bottom w:val="single" w:color="auto" w:sz="4" w:space="0"/>
              <w:right w:val="single" w:color="auto" w:sz="4" w:space="0"/>
            </w:tcBorders>
            <w:shd w:val="clear" w:color="000000" w:fill="FFFFFF"/>
            <w:vAlign w:val="center"/>
          </w:tcPr>
          <w:p w14:paraId="07BFAB3D">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实训桌椅</w:t>
            </w:r>
          </w:p>
        </w:tc>
        <w:tc>
          <w:tcPr>
            <w:tcW w:w="8264" w:type="dxa"/>
            <w:tcBorders>
              <w:top w:val="nil"/>
              <w:left w:val="nil"/>
              <w:bottom w:val="single" w:color="auto" w:sz="4" w:space="0"/>
              <w:right w:val="single" w:color="auto" w:sz="4" w:space="0"/>
            </w:tcBorders>
            <w:shd w:val="clear" w:color="000000" w:fill="FFFFFF"/>
            <w:vAlign w:val="center"/>
          </w:tcPr>
          <w:p w14:paraId="017E6E03">
            <w:pPr>
              <w:widowControl/>
              <w:rPr>
                <w:rFonts w:hint="eastAsia" w:ascii="宋体" w:hAnsi="宋体" w:eastAsia="宋体" w:cs="宋体"/>
                <w:kern w:val="0"/>
                <w:sz w:val="18"/>
                <w:szCs w:val="18"/>
              </w:rPr>
            </w:pPr>
            <w:r>
              <w:rPr>
                <w:rFonts w:hint="eastAsia" w:ascii="宋体" w:hAnsi="宋体" w:eastAsia="宋体" w:cs="宋体"/>
                <w:kern w:val="0"/>
                <w:sz w:val="18"/>
                <w:szCs w:val="18"/>
              </w:rPr>
              <w:t xml:space="preserve"> 1、材料：钢木结构设计，桌体主体采用1.5mm优质冷轧钢板制造，桌面采用厚度25mm白色高密度板，高密度板表面采用冷压贴面工艺，贴三聚氰胺贴面，防尘、防水、耐刮花，密度板四周采用封边工艺。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2、外观：讲桌采用圆弧设计，底部采用主机机箱底脚固定。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功能：讲桌桌面内嵌拉丝铝多媒体接线盒，线盒内置2个电源插座，一个HDMI接口，一个USB接口，一个音频3.5接口；讲桌左端挂柜预留大屏幕显示器安装挂架，方便用户使用大屏幕显示器，左端挂柜边框范围内可安装55-65寸大屏，讲桌桌面尺寸2300*1200mm,桌面高度为740mm，可以围坐6人。</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★4、讲桌尺寸（长*宽*高）2390*1280-1390*1660mm；桌面尺寸（L*W,单位 mm)：2300*1200。凳子：各尺寸均≥330mm×240mm×450mm，钢木结构工艺：严格按照质量要求及完整的工艺流程，经过剪、冲、折、焊、磨、抛及酸洗、磷化、静电喷塑、高温固化等工序制作，从装配到装箱，各配件均经过严格的检验，确保产品质量。</w:t>
            </w:r>
          </w:p>
        </w:tc>
        <w:tc>
          <w:tcPr>
            <w:tcW w:w="520" w:type="dxa"/>
            <w:tcBorders>
              <w:top w:val="nil"/>
              <w:left w:val="nil"/>
              <w:bottom w:val="single" w:color="auto" w:sz="4" w:space="0"/>
              <w:right w:val="single" w:color="auto" w:sz="4" w:space="0"/>
            </w:tcBorders>
            <w:shd w:val="clear" w:color="000000" w:fill="FFFFFF"/>
            <w:vAlign w:val="center"/>
          </w:tcPr>
          <w:p w14:paraId="466DE32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520" w:type="dxa"/>
            <w:tcBorders>
              <w:top w:val="nil"/>
              <w:left w:val="nil"/>
              <w:bottom w:val="single" w:color="auto" w:sz="4" w:space="0"/>
              <w:right w:val="single" w:color="auto" w:sz="4" w:space="0"/>
            </w:tcBorders>
            <w:shd w:val="clear" w:color="000000" w:fill="FFFFFF"/>
            <w:vAlign w:val="center"/>
          </w:tcPr>
          <w:p w14:paraId="5E0C2EB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7E794026">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7533D03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25</w:t>
            </w:r>
          </w:p>
        </w:tc>
        <w:tc>
          <w:tcPr>
            <w:tcW w:w="756" w:type="dxa"/>
            <w:tcBorders>
              <w:top w:val="nil"/>
              <w:left w:val="nil"/>
              <w:bottom w:val="single" w:color="auto" w:sz="4" w:space="0"/>
              <w:right w:val="single" w:color="auto" w:sz="4" w:space="0"/>
            </w:tcBorders>
            <w:shd w:val="clear" w:color="000000" w:fill="FFFFFF"/>
            <w:vAlign w:val="center"/>
          </w:tcPr>
          <w:p w14:paraId="34546CD1">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系统集成服务</w:t>
            </w:r>
          </w:p>
        </w:tc>
        <w:tc>
          <w:tcPr>
            <w:tcW w:w="8264" w:type="dxa"/>
            <w:tcBorders>
              <w:top w:val="nil"/>
              <w:left w:val="nil"/>
              <w:bottom w:val="single" w:color="auto" w:sz="4" w:space="0"/>
              <w:right w:val="single" w:color="auto" w:sz="4" w:space="0"/>
            </w:tcBorders>
            <w:shd w:val="clear" w:color="000000" w:fill="FFFFFF"/>
            <w:vAlign w:val="center"/>
          </w:tcPr>
          <w:p w14:paraId="6C4F58E6">
            <w:pPr>
              <w:widowControl/>
              <w:rPr>
                <w:rFonts w:hint="eastAsia" w:ascii="宋体" w:hAnsi="宋体" w:eastAsia="宋体" w:cs="宋体"/>
                <w:kern w:val="0"/>
                <w:sz w:val="18"/>
                <w:szCs w:val="18"/>
              </w:rPr>
            </w:pPr>
            <w:r>
              <w:rPr>
                <w:rFonts w:hint="eastAsia" w:ascii="宋体" w:hAnsi="宋体" w:eastAsia="宋体" w:cs="宋体"/>
                <w:kern w:val="0"/>
                <w:sz w:val="18"/>
                <w:szCs w:val="18"/>
              </w:rPr>
              <w:t>设备安装、设备调试、线路铺设、网线、电源线、信号线、供电电源、水晶头、扎带、螺丝等。</w:t>
            </w:r>
          </w:p>
        </w:tc>
        <w:tc>
          <w:tcPr>
            <w:tcW w:w="520" w:type="dxa"/>
            <w:tcBorders>
              <w:top w:val="nil"/>
              <w:left w:val="nil"/>
              <w:bottom w:val="single" w:color="auto" w:sz="4" w:space="0"/>
              <w:right w:val="single" w:color="auto" w:sz="4" w:space="0"/>
            </w:tcBorders>
            <w:shd w:val="clear" w:color="000000" w:fill="FFFFFF"/>
            <w:vAlign w:val="center"/>
          </w:tcPr>
          <w:p w14:paraId="28D50F27">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1CE1A52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项</w:t>
            </w:r>
          </w:p>
        </w:tc>
      </w:tr>
      <w:tr w14:paraId="77A42626">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478F0657">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26</w:t>
            </w:r>
          </w:p>
        </w:tc>
        <w:tc>
          <w:tcPr>
            <w:tcW w:w="756" w:type="dxa"/>
            <w:tcBorders>
              <w:top w:val="nil"/>
              <w:left w:val="nil"/>
              <w:bottom w:val="single" w:color="auto" w:sz="4" w:space="0"/>
              <w:right w:val="single" w:color="auto" w:sz="4" w:space="0"/>
            </w:tcBorders>
            <w:shd w:val="clear" w:color="000000" w:fill="FFFFFF"/>
            <w:vAlign w:val="center"/>
          </w:tcPr>
          <w:p w14:paraId="70074BA2">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网络交换机</w:t>
            </w:r>
          </w:p>
        </w:tc>
        <w:tc>
          <w:tcPr>
            <w:tcW w:w="8264" w:type="dxa"/>
            <w:tcBorders>
              <w:top w:val="nil"/>
              <w:left w:val="nil"/>
              <w:bottom w:val="single" w:color="auto" w:sz="4" w:space="0"/>
              <w:right w:val="single" w:color="auto" w:sz="4" w:space="0"/>
            </w:tcBorders>
            <w:shd w:val="clear" w:color="000000" w:fill="FFFFFF"/>
            <w:vAlign w:val="center"/>
          </w:tcPr>
          <w:p w14:paraId="1A27AF98">
            <w:pPr>
              <w:widowControl/>
              <w:rPr>
                <w:rFonts w:hint="eastAsia" w:ascii="宋体" w:hAnsi="宋体" w:eastAsia="宋体" w:cs="宋体"/>
                <w:kern w:val="0"/>
                <w:sz w:val="18"/>
                <w:szCs w:val="18"/>
              </w:rPr>
            </w:pPr>
            <w:r>
              <w:rPr>
                <w:rFonts w:hint="eastAsia" w:ascii="宋体" w:hAnsi="宋体" w:eastAsia="宋体" w:cs="宋体"/>
                <w:kern w:val="0"/>
                <w:sz w:val="18"/>
                <w:szCs w:val="18"/>
              </w:rPr>
              <w:t>★1、千兆电口≥24个， 千兆 SFP光口≥4个，Console口≥1个；</w:t>
            </w:r>
            <w:r>
              <w:rPr>
                <w:rFonts w:hint="eastAsia" w:ascii="宋体" w:hAnsi="宋体" w:eastAsia="宋体" w:cs="宋体"/>
                <w:kern w:val="0"/>
                <w:sz w:val="18"/>
                <w:szCs w:val="18"/>
              </w:rPr>
              <w:br w:type="textWrapping"/>
            </w:r>
            <w:r>
              <w:rPr>
                <w:rFonts w:hint="eastAsia" w:ascii="宋体" w:hAnsi="宋体" w:eastAsia="宋体" w:cs="宋体"/>
                <w:kern w:val="0"/>
                <w:sz w:val="18"/>
                <w:szCs w:val="18"/>
              </w:rPr>
              <w:t>2、交换性能≥6.72Tbps，包转发率≥190Mpps；</w:t>
            </w:r>
            <w:r>
              <w:rPr>
                <w:rFonts w:hint="eastAsia" w:ascii="宋体" w:hAnsi="宋体" w:eastAsia="宋体" w:cs="宋体"/>
                <w:kern w:val="0"/>
                <w:sz w:val="18"/>
                <w:szCs w:val="18"/>
              </w:rPr>
              <w:br w:type="textWrapping"/>
            </w:r>
            <w:r>
              <w:rPr>
                <w:rFonts w:hint="eastAsia" w:ascii="宋体" w:hAnsi="宋体" w:eastAsia="宋体" w:cs="宋体"/>
                <w:kern w:val="0"/>
                <w:sz w:val="18"/>
                <w:szCs w:val="18"/>
              </w:rPr>
              <w:t>3、支持交换机端口设置为信任端口或非信任端口，非信任端口也可设置白名单响应DHCP报文；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★4、支持STP、RSTP、MSTP协议，支持4K个VLAN，支持MAC地址≥8K，支持MAC地址自动学习，支持源MAC地址过滤；</w:t>
            </w:r>
            <w:r>
              <w:rPr>
                <w:rFonts w:hint="eastAsia" w:ascii="宋体" w:hAnsi="宋体" w:eastAsia="宋体" w:cs="宋体"/>
                <w:kern w:val="0"/>
                <w:sz w:val="18"/>
                <w:szCs w:val="18"/>
              </w:rPr>
              <w:br w:type="textWrapping"/>
            </w:r>
            <w:r>
              <w:rPr>
                <w:rFonts w:hint="eastAsia" w:ascii="宋体" w:hAnsi="宋体" w:eastAsia="宋体" w:cs="宋体"/>
                <w:kern w:val="0"/>
                <w:sz w:val="18"/>
                <w:szCs w:val="18"/>
              </w:rPr>
              <w:t>5、支持IGMP Snooping V1，V2，V3，支持防网关ARP欺骗，支持端口保护、隔离；</w:t>
            </w:r>
            <w:r>
              <w:rPr>
                <w:rFonts w:hint="eastAsia" w:ascii="宋体" w:hAnsi="宋体" w:eastAsia="宋体" w:cs="宋体"/>
                <w:kern w:val="0"/>
                <w:sz w:val="18"/>
                <w:szCs w:val="18"/>
              </w:rPr>
              <w:br w:type="textWrapping"/>
            </w:r>
            <w:r>
              <w:rPr>
                <w:rFonts w:hint="eastAsia" w:ascii="宋体" w:hAnsi="宋体" w:eastAsia="宋体" w:cs="宋体"/>
                <w:kern w:val="0"/>
                <w:sz w:val="18"/>
                <w:szCs w:val="18"/>
              </w:rPr>
              <w:t>6、支持防止ARP攻击功能，支持CPU保护功能，支持SNMPv1/v2c/v3，支持WEB网管特性；</w:t>
            </w:r>
          </w:p>
        </w:tc>
        <w:tc>
          <w:tcPr>
            <w:tcW w:w="520" w:type="dxa"/>
            <w:tcBorders>
              <w:top w:val="nil"/>
              <w:left w:val="nil"/>
              <w:bottom w:val="single" w:color="auto" w:sz="4" w:space="0"/>
              <w:right w:val="single" w:color="auto" w:sz="4" w:space="0"/>
            </w:tcBorders>
            <w:shd w:val="clear" w:color="000000" w:fill="FFFFFF"/>
            <w:vAlign w:val="center"/>
          </w:tcPr>
          <w:p w14:paraId="7918B7E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2B852A3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480DADC6">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0B4BD55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27</w:t>
            </w:r>
          </w:p>
        </w:tc>
        <w:tc>
          <w:tcPr>
            <w:tcW w:w="756" w:type="dxa"/>
            <w:tcBorders>
              <w:top w:val="nil"/>
              <w:left w:val="nil"/>
              <w:bottom w:val="single" w:color="auto" w:sz="4" w:space="0"/>
              <w:right w:val="single" w:color="auto" w:sz="4" w:space="0"/>
            </w:tcBorders>
            <w:shd w:val="clear" w:color="000000" w:fill="FFFFFF"/>
            <w:vAlign w:val="center"/>
          </w:tcPr>
          <w:p w14:paraId="776A2D5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网络机柜</w:t>
            </w:r>
          </w:p>
        </w:tc>
        <w:tc>
          <w:tcPr>
            <w:tcW w:w="8264" w:type="dxa"/>
            <w:tcBorders>
              <w:top w:val="nil"/>
              <w:left w:val="nil"/>
              <w:bottom w:val="single" w:color="auto" w:sz="4" w:space="0"/>
              <w:right w:val="single" w:color="auto" w:sz="4" w:space="0"/>
            </w:tcBorders>
            <w:shd w:val="clear" w:color="000000" w:fill="FFFFFF"/>
            <w:vAlign w:val="center"/>
          </w:tcPr>
          <w:p w14:paraId="4CD8E95D">
            <w:pPr>
              <w:widowControl/>
              <w:rPr>
                <w:rFonts w:hint="eastAsia" w:ascii="宋体" w:hAnsi="宋体" w:eastAsia="宋体" w:cs="宋体"/>
                <w:kern w:val="0"/>
                <w:sz w:val="18"/>
                <w:szCs w:val="18"/>
              </w:rPr>
            </w:pPr>
            <w:r>
              <w:rPr>
                <w:rFonts w:hint="eastAsia" w:ascii="宋体" w:hAnsi="宋体" w:eastAsia="宋体" w:cs="宋体"/>
                <w:kern w:val="0"/>
                <w:sz w:val="18"/>
                <w:szCs w:val="18"/>
              </w:rPr>
              <w:t>★600MM*800MM*1600MM网络机柜</w:t>
            </w:r>
          </w:p>
        </w:tc>
        <w:tc>
          <w:tcPr>
            <w:tcW w:w="520" w:type="dxa"/>
            <w:tcBorders>
              <w:top w:val="nil"/>
              <w:left w:val="nil"/>
              <w:bottom w:val="single" w:color="auto" w:sz="4" w:space="0"/>
              <w:right w:val="single" w:color="auto" w:sz="4" w:space="0"/>
            </w:tcBorders>
            <w:shd w:val="clear" w:color="000000" w:fill="FFFFFF"/>
            <w:vAlign w:val="center"/>
          </w:tcPr>
          <w:p w14:paraId="7CD1E42C">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50DD647B">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1E018E1D">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3353AA3E">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28</w:t>
            </w:r>
          </w:p>
        </w:tc>
        <w:tc>
          <w:tcPr>
            <w:tcW w:w="756" w:type="dxa"/>
            <w:tcBorders>
              <w:top w:val="nil"/>
              <w:left w:val="nil"/>
              <w:bottom w:val="single" w:color="auto" w:sz="4" w:space="0"/>
              <w:right w:val="single" w:color="auto" w:sz="4" w:space="0"/>
            </w:tcBorders>
            <w:shd w:val="clear" w:color="000000" w:fill="FFFFFF"/>
            <w:vAlign w:val="center"/>
          </w:tcPr>
          <w:p w14:paraId="28B77A41">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虚拟交互一体机</w:t>
            </w:r>
          </w:p>
        </w:tc>
        <w:tc>
          <w:tcPr>
            <w:tcW w:w="8264" w:type="dxa"/>
            <w:tcBorders>
              <w:top w:val="nil"/>
              <w:left w:val="nil"/>
              <w:bottom w:val="single" w:color="auto" w:sz="4" w:space="0"/>
              <w:right w:val="single" w:color="auto" w:sz="4" w:space="0"/>
            </w:tcBorders>
            <w:shd w:val="clear" w:color="000000" w:fill="FFFFFF"/>
            <w:vAlign w:val="center"/>
          </w:tcPr>
          <w:p w14:paraId="2A2741C6">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1、采用≥24英寸LCD屏一体化设计，外壳采用PC级合成材料制造，通过HDMI视频输入接口可将显示器单独作为3D触控显示器使用，支持播放上下和左右以及帧顺序格式3D视频与内容资源。</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2、具有物理按钮智可以控制2D/3D快速自动切换两种。</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3、具有≥3种交互方式，包括键鼠、触控、光学追踪笔等。</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4、具有防蓝光护眼显示模式，可通过软件一键切换至护眼模式。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▲5、电脑端口：HDMI 输入≥2个，HDMI 输出≥2个，DisplayPort 输出≥1个，3.5mm耳机音频输出≥1个，3.5mm麦克风输入≥1个，USB 3.0 接口≥6个，RJ45 网络接口≥1个；电脑按键：左右3D信号源按钮≥1个，上下3D信号源按钮≥1个，信号源切换按钮≥1个，1*电源按钮≥1个。（提供设备接口图佐证）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6、整机摆放倾斜角度为20度（水平角度）到90度（直立角度），根据倾斜角度，软件系统自动调整显示视角。</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7、内置智能温控系统，能自动感应系统运行温度，并实时调节散热系统。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8、设备管理系统整合虚拟现实控制面板，可测试和调试系统虚拟现实功能及模块，包括护眼模式、服务状态检测、硬件信息检测、主控板模块、触笔跟踪测试、设置摄像头检测、参数管理、显示模式、双屏模式。（提供功能截图佐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9、光学追踪系统</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（1)内置控制单元，可实现软件对显示器的智能控制功能，自动检测一体机主要系统实时配置信息、摄像机信息，便于硬件及外接设备管理。</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内置≥2组红外传感器，每组红外传感器都包含2个同步双目相机，每组红外传感器配置有4个红外光源灯，单组红外传感器即可实现对目标物的实时跟踪；多组红外传感器协同工作，可提升对目标物追踪的覆盖范围及追踪系统的精度。</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（3)光学跟踪系统可实时显示当前显示系统的姿态信息，并将当前显示系统的姿态信息映射到虚拟场景中获得3D显示图像。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（4)光学追踪3D眼镜，结构支持挂在近视眼镜上，5点追踪设计，3点以上即准确判断眼镜位置，从而转换不同视角下的显示内容，具备头部位置追踪功能。</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（5)光学追踪3D眼镜和观看者3D眼镜可自动同步在多台同一型号主机。</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光学追踪操控笔：光学跟踪空间交互笔具有2个红外追踪Mark点追踪操控位置，采用2键式设计，支持6自由度坐标轴和空中姿态转动；精度：追踪&lt;1mm，角度&lt;0.1度；操控笔与主机采用有线连接方式保证信号稳定；操控笔无需电池供电；握笔式人体工学设计；震动式操作反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10、桌面VR学习体验软件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（1)软件支持屏幕触控、键鼠、触控笔操作。</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（2)软件支持启动更新，离线使用。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（3)可实现2D/3D投屏效果，AR虚拟场景投屏。</w:t>
            </w:r>
            <w:r>
              <w:rPr>
                <w:rFonts w:hint="eastAsia" w:ascii="宋体" w:hAnsi="宋体" w:eastAsia="宋体" w:cs="宋体"/>
                <w:kern w:val="0"/>
                <w:sz w:val="20"/>
                <w:szCs w:val="20"/>
              </w:rPr>
              <w:br w:type="textWrapping"/>
            </w:r>
            <w:r>
              <w:rPr>
                <w:rFonts w:hint="eastAsia" w:ascii="宋体" w:hAnsi="宋体" w:eastAsia="宋体" w:cs="宋体"/>
                <w:kern w:val="0"/>
                <w:sz w:val="20"/>
                <w:szCs w:val="20"/>
              </w:rPr>
              <w:t>（4)软件包含≥五个互动课件的体验内容，针对课件提供放大、缩放功能，提供了每次操作的提示功能，内置虚拟相机可对当前场景进行360°的查看。</w:t>
            </w:r>
            <w:r>
              <w:rPr>
                <w:rFonts w:hint="eastAsia" w:ascii="宋体" w:hAnsi="宋体" w:eastAsia="宋体" w:cs="宋体"/>
                <w:kern w:val="0"/>
                <w:sz w:val="20"/>
                <w:szCs w:val="20"/>
              </w:rPr>
              <w:br w:type="textWrapping"/>
            </w:r>
            <w:r>
              <w:rPr>
                <w:rFonts w:hint="eastAsia" w:ascii="宋体" w:hAnsi="宋体" w:eastAsia="宋体" w:cs="宋体"/>
                <w:kern w:val="0"/>
                <w:sz w:val="20"/>
                <w:szCs w:val="20"/>
              </w:rPr>
              <w:t>★（5)软件包括“蚕的生命周期、心脏循环系统、发动机内部结构、八大行星、建筑”五大课件Demo，支持≥两人在同一场景使用，在场景中包含有拆分、测量、透视、切片等功能。（提供功能截图佐证）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（6)包含6大模块：3D模型库资源模块、增强现实模块、3D投屏显示模块、3D/2D智能识别模块、自由探究工具模块、嵌入式问答及评测模块，各个模块与系统无缝融合。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（7)支持授课和自主探究两种模式，满足3D教学模型的课件教学和学生自主探究问题作答，将课堂知识点与3D模型操作深度融合。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（8)支持屏幕录制，将教学画面直接录屏，制作微课。</w:t>
            </w:r>
            <w:r>
              <w:rPr>
                <w:rFonts w:hint="eastAsia" w:ascii="宋体" w:hAnsi="宋体" w:eastAsia="宋体" w:cs="宋体"/>
                <w:kern w:val="0"/>
                <w:sz w:val="20"/>
                <w:szCs w:val="20"/>
              </w:rPr>
              <w:br w:type="textWrapping"/>
            </w:r>
            <w:r>
              <w:rPr>
                <w:rFonts w:hint="eastAsia" w:ascii="宋体" w:hAnsi="宋体" w:eastAsia="宋体" w:cs="宋体"/>
                <w:kern w:val="0"/>
                <w:sz w:val="20"/>
                <w:szCs w:val="20"/>
              </w:rPr>
              <w:t>（9)支持对模型进行操作以实现虚拟现实的三维浏览、拆分、标注、尺寸测量、内部探查、显示/隐藏模型标签等功能。</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（10)支持模型标签测试，模型组装测试功能，提供正确/错误反馈。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（11)支持与外接3D大屏设备连接，可实现2D/3D投屏效果，也可实现AR投屏的虚拟交互场景。</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（12)支持2D/3D显示方式，键鼠、操控笔双重交互，根据追踪眼镜是否出现在屏幕传感器捕捉范围，自动识别切换。</w:t>
            </w:r>
            <w:r>
              <w:rPr>
                <w:rFonts w:hint="eastAsia" w:ascii="宋体" w:hAnsi="宋体" w:eastAsia="宋体" w:cs="宋体"/>
                <w:kern w:val="0"/>
                <w:sz w:val="20"/>
                <w:szCs w:val="20"/>
              </w:rPr>
              <w:br w:type="textWrapping"/>
            </w:r>
            <w:r>
              <w:rPr>
                <w:rFonts w:hint="eastAsia" w:ascii="宋体" w:hAnsi="宋体" w:eastAsia="宋体" w:cs="宋体"/>
                <w:kern w:val="0"/>
                <w:sz w:val="20"/>
                <w:szCs w:val="20"/>
              </w:rPr>
              <w:t>11、质保服务：提供原厂针对本项目的三年售后服务承诺函。</w:t>
            </w:r>
          </w:p>
        </w:tc>
        <w:tc>
          <w:tcPr>
            <w:tcW w:w="520" w:type="dxa"/>
            <w:tcBorders>
              <w:top w:val="nil"/>
              <w:left w:val="nil"/>
              <w:bottom w:val="single" w:color="auto" w:sz="4" w:space="0"/>
              <w:right w:val="single" w:color="auto" w:sz="4" w:space="0"/>
            </w:tcBorders>
            <w:shd w:val="clear" w:color="000000" w:fill="FFFFFF"/>
            <w:vAlign w:val="center"/>
          </w:tcPr>
          <w:p w14:paraId="302E6D4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18E11083">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台</w:t>
            </w:r>
          </w:p>
        </w:tc>
      </w:tr>
      <w:tr w14:paraId="3E373F7A">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3422181A">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29</w:t>
            </w:r>
          </w:p>
        </w:tc>
        <w:tc>
          <w:tcPr>
            <w:tcW w:w="756" w:type="dxa"/>
            <w:tcBorders>
              <w:top w:val="nil"/>
              <w:left w:val="nil"/>
              <w:bottom w:val="single" w:color="auto" w:sz="4" w:space="0"/>
              <w:right w:val="single" w:color="auto" w:sz="4" w:space="0"/>
            </w:tcBorders>
            <w:shd w:val="clear" w:color="000000" w:fill="FFFFFF"/>
            <w:vAlign w:val="center"/>
          </w:tcPr>
          <w:p w14:paraId="40E96EAF">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AR摄像机</w:t>
            </w:r>
          </w:p>
        </w:tc>
        <w:tc>
          <w:tcPr>
            <w:tcW w:w="8264" w:type="dxa"/>
            <w:tcBorders>
              <w:top w:val="nil"/>
              <w:left w:val="nil"/>
              <w:bottom w:val="single" w:color="auto" w:sz="4" w:space="0"/>
              <w:right w:val="single" w:color="auto" w:sz="4" w:space="0"/>
            </w:tcBorders>
            <w:shd w:val="clear" w:color="000000" w:fill="FFFFFF"/>
            <w:vAlign w:val="center"/>
          </w:tcPr>
          <w:p w14:paraId="1EC99767">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AR摄像机套装（内含支架，搭配虚拟交互一体机）</w:t>
            </w:r>
          </w:p>
        </w:tc>
        <w:tc>
          <w:tcPr>
            <w:tcW w:w="520" w:type="dxa"/>
            <w:tcBorders>
              <w:top w:val="nil"/>
              <w:left w:val="nil"/>
              <w:bottom w:val="single" w:color="auto" w:sz="4" w:space="0"/>
              <w:right w:val="single" w:color="auto" w:sz="4" w:space="0"/>
            </w:tcBorders>
            <w:shd w:val="clear" w:color="000000" w:fill="FFFFFF"/>
            <w:vAlign w:val="center"/>
          </w:tcPr>
          <w:p w14:paraId="5DB8674F">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5BF9DC1D">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r w14:paraId="6A11C98A">
        <w:tblPrEx>
          <w:tblCellMar>
            <w:top w:w="0" w:type="dxa"/>
            <w:left w:w="108" w:type="dxa"/>
            <w:bottom w:w="0" w:type="dxa"/>
            <w:right w:w="108" w:type="dxa"/>
          </w:tblCellMar>
        </w:tblPrEx>
        <w:trPr>
          <w:trHeight w:val="420" w:hRule="atLeast"/>
        </w:trPr>
        <w:tc>
          <w:tcPr>
            <w:tcW w:w="520" w:type="dxa"/>
            <w:tcBorders>
              <w:top w:val="nil"/>
              <w:left w:val="single" w:color="auto" w:sz="4" w:space="0"/>
              <w:bottom w:val="single" w:color="auto" w:sz="4" w:space="0"/>
              <w:right w:val="single" w:color="auto" w:sz="4" w:space="0"/>
            </w:tcBorders>
            <w:shd w:val="clear" w:color="auto" w:fill="auto"/>
            <w:vAlign w:val="center"/>
          </w:tcPr>
          <w:p w14:paraId="313D2515">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30</w:t>
            </w:r>
          </w:p>
        </w:tc>
        <w:tc>
          <w:tcPr>
            <w:tcW w:w="756" w:type="dxa"/>
            <w:tcBorders>
              <w:top w:val="nil"/>
              <w:left w:val="nil"/>
              <w:bottom w:val="single" w:color="auto" w:sz="4" w:space="0"/>
              <w:right w:val="single" w:color="auto" w:sz="4" w:space="0"/>
            </w:tcBorders>
            <w:shd w:val="clear" w:color="000000" w:fill="FFFFFF"/>
            <w:vAlign w:val="center"/>
          </w:tcPr>
          <w:p w14:paraId="52EC9B9C">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增强现实软件</w:t>
            </w:r>
          </w:p>
        </w:tc>
        <w:tc>
          <w:tcPr>
            <w:tcW w:w="8264" w:type="dxa"/>
            <w:tcBorders>
              <w:top w:val="nil"/>
              <w:left w:val="nil"/>
              <w:bottom w:val="single" w:color="auto" w:sz="4" w:space="0"/>
              <w:right w:val="single" w:color="auto" w:sz="4" w:space="0"/>
            </w:tcBorders>
            <w:shd w:val="clear" w:color="000000" w:fill="FFFFFF"/>
            <w:vAlign w:val="center"/>
          </w:tcPr>
          <w:p w14:paraId="70C1053A">
            <w:pPr>
              <w:widowControl/>
              <w:jc w:val="left"/>
              <w:rPr>
                <w:rFonts w:hint="eastAsia" w:ascii="宋体" w:hAnsi="宋体" w:eastAsia="宋体" w:cs="宋体"/>
                <w:kern w:val="0"/>
                <w:sz w:val="20"/>
                <w:szCs w:val="20"/>
              </w:rPr>
            </w:pPr>
            <w:r>
              <w:rPr>
                <w:rFonts w:hint="eastAsia" w:ascii="宋体" w:hAnsi="宋体" w:eastAsia="宋体" w:cs="宋体"/>
                <w:kern w:val="0"/>
                <w:sz w:val="20"/>
                <w:szCs w:val="20"/>
              </w:rPr>
              <w:t>1、支持将教师机的操作过程投射到另外一个屏幕或者第二台监视器屏幕。</w:t>
            </w:r>
            <w:r>
              <w:rPr>
                <w:rFonts w:hint="eastAsia" w:ascii="宋体" w:hAnsi="宋体" w:eastAsia="宋体" w:cs="宋体"/>
                <w:kern w:val="0"/>
                <w:sz w:val="20"/>
                <w:szCs w:val="20"/>
              </w:rPr>
              <w:br w:type="textWrapping"/>
            </w:r>
            <w:r>
              <w:rPr>
                <w:rFonts w:hint="eastAsia" w:ascii="宋体" w:hAnsi="宋体" w:eastAsia="宋体" w:cs="宋体"/>
                <w:kern w:val="0"/>
                <w:sz w:val="20"/>
                <w:szCs w:val="20"/>
              </w:rPr>
              <w:t>2、通过摄像头搭配和虚拟交互一体机连接的支架，可将虚拟交互一体机显示的内容以AR的方式分享给其他显示设备或者通过网络分享给其他的PC端。</w:t>
            </w:r>
          </w:p>
        </w:tc>
        <w:tc>
          <w:tcPr>
            <w:tcW w:w="520" w:type="dxa"/>
            <w:tcBorders>
              <w:top w:val="nil"/>
              <w:left w:val="nil"/>
              <w:bottom w:val="single" w:color="auto" w:sz="4" w:space="0"/>
              <w:right w:val="single" w:color="auto" w:sz="4" w:space="0"/>
            </w:tcBorders>
            <w:shd w:val="clear" w:color="000000" w:fill="FFFFFF"/>
            <w:vAlign w:val="center"/>
          </w:tcPr>
          <w:p w14:paraId="1CD92EC5">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520" w:type="dxa"/>
            <w:tcBorders>
              <w:top w:val="nil"/>
              <w:left w:val="nil"/>
              <w:bottom w:val="single" w:color="auto" w:sz="4" w:space="0"/>
              <w:right w:val="single" w:color="auto" w:sz="4" w:space="0"/>
            </w:tcBorders>
            <w:shd w:val="clear" w:color="000000" w:fill="FFFFFF"/>
            <w:vAlign w:val="center"/>
          </w:tcPr>
          <w:p w14:paraId="240FCEB4">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套</w:t>
            </w:r>
          </w:p>
        </w:tc>
      </w:tr>
    </w:tbl>
    <w:p w14:paraId="794F7757"/>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68"/>
    <w:rsid w:val="00125ABB"/>
    <w:rsid w:val="00294781"/>
    <w:rsid w:val="0047268F"/>
    <w:rsid w:val="00C70C68"/>
    <w:rsid w:val="07120252"/>
    <w:rsid w:val="09CF4783"/>
    <w:rsid w:val="14897D1E"/>
    <w:rsid w:val="14C71DDD"/>
    <w:rsid w:val="760F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18303</Words>
  <Characters>20576</Characters>
  <Lines>153</Lines>
  <Paragraphs>43</Paragraphs>
  <TotalTime>1</TotalTime>
  <ScaleCrop>false</ScaleCrop>
  <LinksUpToDate>false</LinksUpToDate>
  <CharactersWithSpaces>20928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2025-07-23T14:44:00Z</dcterms:created>
  <dc:creator>Administrator</dc:creator>
  <cp:lastModifiedBy>WPS_1726620891</cp:lastModifiedBy>
  <dcterms:modified xsi:type="dcterms:W3CDTF">2025-07-25T06:52:24Z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eyJoZGlkIjoiMTUyNzBhNWI5OWZiMjIwZDQzYTdlNTE1YjNlZThjNTEiLCJ1c2VySWQiOiIxNjM0NzMyMjAyIn0=</vt:lpwstr>
  </property>
  <property fmtid="{D5CDD505-2E9C-101B-9397-08002B2CF9AE}" pid="3" name="KSOProductBuildVer">
    <vt:lpwstr>2052-12.1.0.21915</vt:lpwstr>
  </property>
  <property fmtid="{D5CDD505-2E9C-101B-9397-08002B2CF9AE}" pid="4" name="ICV">
    <vt:lpwstr>6AB383975E874AECA3EC4816999AD45B_12</vt:lpwstr>
  </property>
</Properties>
</file>