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7BC28">
      <w:pPr>
        <w:jc w:val="center"/>
        <w:rPr>
          <w:rFonts w:hint="eastAsia" w:ascii="仿宋" w:hAnsi="仿宋" w:eastAsia="仿宋" w:cs="仿宋"/>
          <w:b/>
          <w:sz w:val="36"/>
          <w:szCs w:val="36"/>
          <w:lang w:val="en-US" w:eastAsia="zh-CN"/>
        </w:rPr>
      </w:pPr>
      <w:r>
        <w:rPr>
          <w:rFonts w:hint="eastAsia" w:ascii="仿宋" w:hAnsi="仿宋" w:eastAsia="仿宋" w:cs="仿宋"/>
          <w:b/>
          <w:sz w:val="36"/>
          <w:szCs w:val="36"/>
          <w:lang w:val="en-US" w:eastAsia="zh-CN"/>
        </w:rPr>
        <w:t>鄂尔多斯市文化和旅游局2025年局属单位安全隐患维修工程（图书馆、博物馆、青铜器博物馆、革命历史博物馆）</w:t>
      </w:r>
    </w:p>
    <w:p w14:paraId="51B692E5">
      <w:pPr>
        <w:jc w:val="center"/>
        <w:rPr>
          <w:rFonts w:hint="eastAsia" w:ascii="仿宋" w:hAnsi="仿宋" w:eastAsia="仿宋" w:cs="仿宋"/>
          <w:b/>
          <w:sz w:val="36"/>
          <w:szCs w:val="36"/>
          <w:lang w:val="en-US" w:eastAsia="zh-CN"/>
        </w:rPr>
      </w:pPr>
      <w:r>
        <w:rPr>
          <w:rFonts w:hint="eastAsia" w:ascii="仿宋" w:hAnsi="仿宋" w:eastAsia="仿宋" w:cs="仿宋"/>
          <w:b/>
          <w:sz w:val="36"/>
          <w:szCs w:val="36"/>
          <w:lang w:val="en-US" w:eastAsia="zh-CN"/>
        </w:rPr>
        <w:t>工程量清单编制说明</w:t>
      </w:r>
    </w:p>
    <w:tbl>
      <w:tblPr>
        <w:tblStyle w:val="8"/>
        <w:tblW w:w="9932"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2"/>
      </w:tblGrid>
      <w:tr w14:paraId="28299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32" w:type="dxa"/>
            <w:noWrap w:val="0"/>
            <w:vAlign w:val="top"/>
          </w:tcPr>
          <w:p w14:paraId="38594DC6">
            <w:pPr>
              <w:keepNext w:val="0"/>
              <w:keepLines w:val="0"/>
              <w:pageBreakBefore w:val="0"/>
              <w:kinsoku/>
              <w:wordWrap/>
              <w:overflowPunct/>
              <w:topLinePunct w:val="0"/>
              <w:autoSpaceDE w:val="0"/>
              <w:autoSpaceDN w:val="0"/>
              <w:bidi w:val="0"/>
              <w:adjustRightInd w:val="0"/>
              <w:snapToGrid w:val="0"/>
              <w:spacing w:line="360" w:lineRule="auto"/>
              <w:ind w:firstLine="600" w:firstLineChars="200"/>
              <w:jc w:val="left"/>
              <w:textAlignment w:val="auto"/>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一、工程概况：</w:t>
            </w:r>
          </w:p>
          <w:p w14:paraId="11140723">
            <w:pPr>
              <w:keepNext w:val="0"/>
              <w:keepLines w:val="0"/>
              <w:pageBreakBefore w:val="0"/>
              <w:kinsoku/>
              <w:wordWrap/>
              <w:overflowPunct/>
              <w:topLinePunct w:val="0"/>
              <w:autoSpaceDE w:val="0"/>
              <w:autoSpaceDN w:val="0"/>
              <w:bidi w:val="0"/>
              <w:adjustRightInd w:val="0"/>
              <w:snapToGrid w:val="0"/>
              <w:spacing w:line="360" w:lineRule="auto"/>
              <w:ind w:firstLine="600" w:firstLineChars="200"/>
              <w:jc w:val="left"/>
              <w:textAlignment w:val="auto"/>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1、工程名称：鄂尔多斯市文化和旅游局2025年局属单位安全隐患维修</w:t>
            </w:r>
          </w:p>
          <w:p w14:paraId="70C4266C">
            <w:pPr>
              <w:keepNext w:val="0"/>
              <w:keepLines w:val="0"/>
              <w:pageBreakBefore w:val="0"/>
              <w:kinsoku/>
              <w:wordWrap/>
              <w:overflowPunct/>
              <w:topLinePunct w:val="0"/>
              <w:autoSpaceDE w:val="0"/>
              <w:autoSpaceDN w:val="0"/>
              <w:bidi w:val="0"/>
              <w:adjustRightInd w:val="0"/>
              <w:snapToGrid w:val="0"/>
              <w:spacing w:line="360" w:lineRule="auto"/>
              <w:jc w:val="left"/>
              <w:textAlignment w:val="auto"/>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工程（图书馆、博物馆、青铜器博物馆、革命历史博物馆）</w:t>
            </w:r>
          </w:p>
          <w:p w14:paraId="559DE691">
            <w:pPr>
              <w:keepNext w:val="0"/>
              <w:keepLines w:val="0"/>
              <w:pageBreakBefore w:val="0"/>
              <w:kinsoku/>
              <w:wordWrap/>
              <w:overflowPunct/>
              <w:topLinePunct w:val="0"/>
              <w:autoSpaceDE w:val="0"/>
              <w:autoSpaceDN w:val="0"/>
              <w:bidi w:val="0"/>
              <w:adjustRightInd w:val="0"/>
              <w:snapToGrid w:val="0"/>
              <w:spacing w:line="360" w:lineRule="auto"/>
              <w:ind w:firstLine="600" w:firstLineChars="200"/>
              <w:jc w:val="left"/>
              <w:textAlignment w:val="auto"/>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2、施工地点：鄂尔多斯市康巴什区、东胜区</w:t>
            </w:r>
          </w:p>
          <w:p w14:paraId="158F5B70">
            <w:pPr>
              <w:keepNext w:val="0"/>
              <w:keepLines w:val="0"/>
              <w:pageBreakBefore w:val="0"/>
              <w:kinsoku/>
              <w:wordWrap/>
              <w:overflowPunct/>
              <w:topLinePunct w:val="0"/>
              <w:autoSpaceDE w:val="0"/>
              <w:autoSpaceDN w:val="0"/>
              <w:bidi w:val="0"/>
              <w:adjustRightInd w:val="0"/>
              <w:snapToGrid w:val="0"/>
              <w:spacing w:line="360" w:lineRule="auto"/>
              <w:ind w:firstLine="600" w:firstLineChars="200"/>
              <w:jc w:val="left"/>
              <w:textAlignment w:val="auto"/>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3、主要施工内容：①图书馆采光屋面胶条破损更换胶条、采光屋面龙骨除锈上漆；拆除塌陷排污井、井盖、双壁波纹管排污管道；重新更换双壁波纹管排污管道；恢复井盖及砖砌排污井，恢复排污井1米范围内花岗岩硬化；②博物馆线路维修更换；③青铜器博物馆地下室顶板拆除种植土、侧石、卵石路面、花岗岩路面、结构防水层至找平层，更换防水、面层恢复为花岗岩硬化；屋面拆除结构防水层至找平层，新做屋面防水处理；④革命历史博物馆打磨抛光原有水磨石楼地面，更换原有金属栏杆为镀锌方钢栏杆等。</w:t>
            </w:r>
          </w:p>
          <w:p w14:paraId="75552308">
            <w:pPr>
              <w:pStyle w:val="7"/>
              <w:keepNext w:val="0"/>
              <w:keepLines w:val="0"/>
              <w:pageBreakBefore w:val="0"/>
              <w:widowControl/>
              <w:suppressLineNumbers w:val="0"/>
              <w:kinsoku/>
              <w:wordWrap/>
              <w:overflowPunct/>
              <w:topLinePunct w:val="0"/>
              <w:bidi w:val="0"/>
              <w:adjustRightInd w:val="0"/>
              <w:snapToGrid w:val="0"/>
              <w:spacing w:before="0" w:beforeAutospacing="0" w:after="0" w:afterAutospacing="0" w:line="360" w:lineRule="auto"/>
              <w:ind w:left="0" w:right="0" w:firstLine="600" w:firstLineChars="200"/>
              <w:textAlignment w:val="auto"/>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二、编制范围：内蒙古智汇工程设计咨询有限责任公司出具的建筑</w:t>
            </w:r>
            <w:r>
              <w:rPr>
                <w:rFonts w:hint="eastAsia" w:ascii="仿宋" w:hAnsi="仿宋" w:eastAsia="仿宋" w:cs="仿宋"/>
                <w:kern w:val="0"/>
                <w:sz w:val="30"/>
                <w:szCs w:val="30"/>
                <w:lang w:val="en-US" w:eastAsia="zh-CN" w:bidi="ar-SA"/>
              </w:rPr>
              <w:t>、结构、强弱电等专业提出的设计图纸。</w:t>
            </w:r>
          </w:p>
          <w:p w14:paraId="6B28C490">
            <w:pPr>
              <w:keepNext w:val="0"/>
              <w:keepLines w:val="0"/>
              <w:pageBreakBefore w:val="0"/>
              <w:kinsoku/>
              <w:wordWrap/>
              <w:overflowPunct/>
              <w:topLinePunct w:val="0"/>
              <w:autoSpaceDE w:val="0"/>
              <w:autoSpaceDN w:val="0"/>
              <w:bidi w:val="0"/>
              <w:adjustRightInd w:val="0"/>
              <w:snapToGrid w:val="0"/>
              <w:spacing w:line="360" w:lineRule="auto"/>
              <w:ind w:firstLine="600" w:firstLineChars="200"/>
              <w:jc w:val="left"/>
              <w:textAlignment w:val="auto"/>
              <w:rPr>
                <w:rFonts w:hint="eastAsia" w:ascii="仿宋" w:hAnsi="仿宋" w:eastAsia="仿宋" w:cs="仿宋"/>
                <w:kern w:val="0"/>
                <w:sz w:val="30"/>
                <w:szCs w:val="30"/>
              </w:rPr>
            </w:pPr>
            <w:r>
              <w:rPr>
                <w:rFonts w:hint="eastAsia" w:ascii="仿宋" w:hAnsi="仿宋" w:eastAsia="仿宋" w:cs="仿宋"/>
                <w:kern w:val="0"/>
                <w:sz w:val="30"/>
                <w:szCs w:val="30"/>
              </w:rPr>
              <w:t>三、编制依据：</w:t>
            </w:r>
          </w:p>
          <w:p w14:paraId="1890AABC">
            <w:pPr>
              <w:keepNext w:val="0"/>
              <w:keepLines w:val="0"/>
              <w:pageBreakBefore w:val="0"/>
              <w:kinsoku/>
              <w:wordWrap/>
              <w:overflowPunct/>
              <w:topLinePunct w:val="0"/>
              <w:bidi w:val="0"/>
              <w:adjustRightInd w:val="0"/>
              <w:snapToGrid w:val="0"/>
              <w:spacing w:line="360" w:lineRule="auto"/>
              <w:ind w:firstLine="600" w:firstLineChars="200"/>
              <w:jc w:val="left"/>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1、</w:t>
            </w:r>
            <w:r>
              <w:rPr>
                <w:rFonts w:hint="eastAsia" w:ascii="仿宋" w:hAnsi="仿宋" w:eastAsia="仿宋" w:cs="仿宋"/>
                <w:sz w:val="30"/>
                <w:szCs w:val="30"/>
              </w:rPr>
              <w:t>工程量依据《房屋建筑与装饰工程工程量计算规范（G50854-2013）》、《通用安装工程工程量计算规范（GB50856-2013）》</w:t>
            </w:r>
            <w:r>
              <w:rPr>
                <w:rFonts w:hint="eastAsia" w:ascii="仿宋" w:hAnsi="仿宋" w:eastAsia="仿宋" w:cs="仿宋"/>
                <w:sz w:val="30"/>
                <w:szCs w:val="30"/>
                <w:lang w:eastAsia="zh-CN"/>
              </w:rPr>
              <w:t>。</w:t>
            </w:r>
          </w:p>
          <w:p w14:paraId="782EFDC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2、工程量清单计价执行2013届《建设工程工程量清单计价规范》(GB50500-2013)、《房屋建筑与装饰工程工程量计算规范》(GB50854-2013)、《通用安装工程工程量计算规范》</w:t>
            </w:r>
            <w:r>
              <w:rPr>
                <w:rFonts w:hint="eastAsia" w:ascii="仿宋" w:hAnsi="仿宋" w:eastAsia="仿宋" w:cs="仿宋"/>
                <w:sz w:val="30"/>
                <w:szCs w:val="30"/>
              </w:rPr>
              <w:t>。</w:t>
            </w:r>
          </w:p>
          <w:p w14:paraId="7C92BB9C">
            <w:pPr>
              <w:keepNext w:val="0"/>
              <w:keepLines w:val="0"/>
              <w:pageBreakBefore w:val="0"/>
              <w:widowControl w:val="0"/>
              <w:kinsoku/>
              <w:wordWrap/>
              <w:overflowPunct/>
              <w:topLinePunct w:val="0"/>
              <w:autoSpaceDE/>
              <w:autoSpaceDN/>
              <w:bidi w:val="0"/>
              <w:adjustRightInd w:val="0"/>
              <w:snapToGrid w:val="0"/>
              <w:spacing w:line="360" w:lineRule="auto"/>
              <w:ind w:left="34" w:leftChars="16" w:firstLine="600" w:firstLineChars="200"/>
              <w:jc w:val="left"/>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3、规费执行内建标函【2019】468号文件，按19%计取</w:t>
            </w:r>
            <w:r>
              <w:rPr>
                <w:rFonts w:hint="eastAsia" w:ascii="仿宋" w:hAnsi="仿宋" w:eastAsia="仿宋" w:cs="仿宋"/>
                <w:sz w:val="30"/>
                <w:szCs w:val="30"/>
                <w:lang w:eastAsia="zh-CN"/>
              </w:rPr>
              <w:t>。</w:t>
            </w:r>
          </w:p>
          <w:p w14:paraId="6D0F927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00" w:firstLineChars="200"/>
              <w:jc w:val="left"/>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4、税金执行内建标【2019】113号文件,税率按9%计算</w:t>
            </w:r>
            <w:r>
              <w:rPr>
                <w:rFonts w:hint="eastAsia" w:ascii="仿宋" w:hAnsi="仿宋" w:eastAsia="仿宋" w:cs="仿宋"/>
                <w:sz w:val="30"/>
                <w:szCs w:val="30"/>
                <w:lang w:eastAsia="zh-CN"/>
              </w:rPr>
              <w:t>。</w:t>
            </w:r>
          </w:p>
          <w:p w14:paraId="1907DE49">
            <w:pPr>
              <w:keepNext w:val="0"/>
              <w:keepLines w:val="0"/>
              <w:pageBreakBefore w:val="0"/>
              <w:widowControl w:val="0"/>
              <w:kinsoku/>
              <w:wordWrap/>
              <w:overflowPunct/>
              <w:topLinePunct w:val="0"/>
              <w:autoSpaceDE/>
              <w:autoSpaceDN/>
              <w:bidi w:val="0"/>
              <w:adjustRightInd w:val="0"/>
              <w:snapToGrid w:val="0"/>
              <w:spacing w:line="360" w:lineRule="auto"/>
              <w:ind w:left="34" w:leftChars="16" w:firstLine="600" w:firstLineChars="200"/>
              <w:jc w:val="left"/>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5、人工费调整依据内建标(2021)148号文件</w:t>
            </w:r>
            <w:r>
              <w:rPr>
                <w:rFonts w:hint="eastAsia" w:ascii="仿宋" w:hAnsi="仿宋" w:eastAsia="仿宋" w:cs="仿宋"/>
                <w:sz w:val="30"/>
                <w:szCs w:val="30"/>
                <w:lang w:eastAsia="zh-CN"/>
              </w:rPr>
              <w:t>。</w:t>
            </w:r>
          </w:p>
          <w:p w14:paraId="39DE2084">
            <w:pPr>
              <w:keepNext w:val="0"/>
              <w:keepLines w:val="0"/>
              <w:pageBreakBefore w:val="0"/>
              <w:kinsoku/>
              <w:wordWrap/>
              <w:overflowPunct/>
              <w:topLinePunct w:val="0"/>
              <w:bidi w:val="0"/>
              <w:adjustRightInd w:val="0"/>
              <w:snapToGrid w:val="0"/>
              <w:spacing w:line="360" w:lineRule="auto"/>
              <w:ind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rPr>
              <w:t>四、其它</w:t>
            </w:r>
            <w:r>
              <w:rPr>
                <w:rFonts w:hint="eastAsia" w:ascii="仿宋" w:hAnsi="仿宋" w:eastAsia="仿宋" w:cs="仿宋"/>
                <w:sz w:val="30"/>
                <w:szCs w:val="30"/>
                <w:lang w:val="en-US" w:eastAsia="zh-CN"/>
              </w:rPr>
              <w:t>说明</w:t>
            </w:r>
          </w:p>
          <w:p w14:paraId="2078FF66">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余土、建筑废料外运投标人根据施工现场自行考虑。</w:t>
            </w:r>
          </w:p>
          <w:p w14:paraId="1BA15B41">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暂列金额为463534.93元（含税），招投标时不得作为竞争性费用，严格按清单计价规范计取税金9%后进行编制。</w:t>
            </w:r>
          </w:p>
          <w:p w14:paraId="7EE34C6A">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垃圾清运，需要装袋人工搬运至楼下指定垃圾点，施工方自主报价，结算不予调整。</w:t>
            </w:r>
          </w:p>
          <w:p w14:paraId="584005F2">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本工程对所有拆除的有价值的材料或设备要进行保护性拆除，施工过程中如对产品及现场造成破坏、施工方需无偿赔偿，且原有设备、电缆、灯具等拆除后需办理移交手续并运至使用方指定地点方可计入结算，否则结算按利旧处理。</w:t>
            </w:r>
          </w:p>
          <w:p w14:paraId="275BD930">
            <w:pPr>
              <w:pStyle w:val="6"/>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textAlignment w:val="auto"/>
              <w:rPr>
                <w:rFonts w:hint="eastAsia" w:ascii="仿宋" w:hAnsi="仿宋" w:eastAsia="仿宋" w:cs="仿宋"/>
                <w:b w:val="0"/>
                <w:caps w:val="0"/>
                <w:kern w:val="2"/>
                <w:sz w:val="30"/>
                <w:szCs w:val="30"/>
                <w:lang w:val="en-US" w:eastAsia="zh-CN" w:bidi="ar-SA"/>
              </w:rPr>
            </w:pPr>
            <w:r>
              <w:rPr>
                <w:rFonts w:hint="eastAsia" w:ascii="仿宋" w:hAnsi="仿宋" w:eastAsia="仿宋" w:cs="仿宋"/>
                <w:b w:val="0"/>
                <w:caps w:val="0"/>
                <w:kern w:val="2"/>
                <w:sz w:val="30"/>
                <w:szCs w:val="30"/>
                <w:lang w:val="en-US" w:eastAsia="zh-CN" w:bidi="ar-SA"/>
              </w:rPr>
              <w:t>本工程需要考虑室内、外维修对原地面、墙面进行成品保护，投标单位自行考虑，结算时不予调整。</w:t>
            </w:r>
          </w:p>
          <w:p w14:paraId="2CCC3719">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textAlignment w:val="auto"/>
              <w:rPr>
                <w:rFonts w:hint="eastAsia" w:ascii="仿宋" w:hAnsi="仿宋" w:eastAsia="仿宋" w:cs="仿宋"/>
                <w:b w:val="0"/>
                <w:caps w:val="0"/>
                <w:kern w:val="2"/>
                <w:sz w:val="30"/>
                <w:szCs w:val="30"/>
                <w:lang w:val="en-US" w:eastAsia="zh-CN" w:bidi="ar-SA"/>
              </w:rPr>
            </w:pPr>
            <w:r>
              <w:rPr>
                <w:rFonts w:hint="eastAsia" w:ascii="仿宋" w:hAnsi="仿宋" w:eastAsia="仿宋" w:cs="仿宋"/>
                <w:b w:val="0"/>
                <w:caps w:val="0"/>
                <w:kern w:val="2"/>
                <w:sz w:val="30"/>
                <w:szCs w:val="30"/>
                <w:lang w:val="en-US" w:eastAsia="zh-CN" w:bidi="ar-SA"/>
              </w:rPr>
              <w:t>本工程维修过程中不能停止办公，投标时需要考虑停窝工、夜间施工、除尘降噪费用（现场保持无尘、无烟、不影响周围办公）等相关费用，投标单位自行考虑报价，结算时不予调整。</w:t>
            </w:r>
          </w:p>
          <w:p w14:paraId="68D4C530">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textAlignment w:val="auto"/>
              <w:rPr>
                <w:rFonts w:hint="eastAsia" w:ascii="仿宋" w:hAnsi="仿宋" w:eastAsia="仿宋" w:cs="仿宋"/>
                <w:b w:val="0"/>
                <w:caps w:val="0"/>
                <w:kern w:val="2"/>
                <w:sz w:val="30"/>
                <w:szCs w:val="30"/>
                <w:lang w:val="en-US" w:eastAsia="zh-CN" w:bidi="ar-SA"/>
              </w:rPr>
            </w:pPr>
            <w:r>
              <w:rPr>
                <w:rFonts w:hint="eastAsia" w:ascii="仿宋" w:hAnsi="仿宋" w:eastAsia="仿宋" w:cs="仿宋"/>
                <w:b w:val="0"/>
                <w:caps w:val="0"/>
                <w:kern w:val="2"/>
                <w:sz w:val="30"/>
                <w:szCs w:val="30"/>
                <w:lang w:val="en-US" w:eastAsia="zh-CN" w:bidi="ar-SA"/>
              </w:rPr>
              <w:t>投标单位报价需充分考虑雨季施工中的各种应急措施及防护，除不可抗力因素外，结算时不予调整。</w:t>
            </w:r>
          </w:p>
          <w:p w14:paraId="3816AF5C">
            <w:pPr>
              <w:pStyle w:val="6"/>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textAlignment w:val="auto"/>
              <w:rPr>
                <w:rFonts w:hint="eastAsia" w:ascii="仿宋" w:hAnsi="仿宋" w:eastAsia="仿宋" w:cs="仿宋"/>
                <w:b w:val="0"/>
                <w:caps w:val="0"/>
                <w:kern w:val="2"/>
                <w:sz w:val="30"/>
                <w:szCs w:val="30"/>
                <w:lang w:val="en-US" w:eastAsia="zh-CN" w:bidi="ar-SA"/>
              </w:rPr>
            </w:pPr>
            <w:r>
              <w:rPr>
                <w:rFonts w:hint="eastAsia" w:ascii="仿宋" w:hAnsi="仿宋" w:eastAsia="仿宋" w:cs="仿宋"/>
                <w:b w:val="0"/>
                <w:caps w:val="0"/>
                <w:kern w:val="2"/>
                <w:sz w:val="30"/>
                <w:szCs w:val="30"/>
                <w:lang w:val="en-US" w:eastAsia="zh-CN" w:bidi="ar-SA"/>
              </w:rPr>
              <w:t>水电费按投标企业支付计算，若无偿使用馆内水电，结算时按控制价所进水电费全部扣除。</w:t>
            </w:r>
          </w:p>
          <w:p w14:paraId="0DB6343D">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textAlignment w:val="auto"/>
              <w:rPr>
                <w:rFonts w:hint="eastAsia" w:ascii="仿宋" w:hAnsi="仿宋" w:eastAsia="仿宋" w:cs="仿宋"/>
                <w:b w:val="0"/>
                <w:caps w:val="0"/>
                <w:kern w:val="2"/>
                <w:sz w:val="30"/>
                <w:szCs w:val="30"/>
                <w:lang w:val="en-US" w:eastAsia="zh-CN" w:bidi="ar-SA"/>
              </w:rPr>
            </w:pPr>
            <w:r>
              <w:rPr>
                <w:rFonts w:hint="eastAsia" w:ascii="仿宋" w:hAnsi="仿宋" w:eastAsia="仿宋" w:cs="仿宋"/>
                <w:b w:val="0"/>
                <w:caps w:val="0"/>
                <w:kern w:val="2"/>
                <w:sz w:val="30"/>
                <w:szCs w:val="30"/>
                <w:lang w:val="en-US" w:eastAsia="zh-CN" w:bidi="ar-SA"/>
              </w:rPr>
              <w:t>因是维修工程，材料设备必须与原工程相匹配、兼容，采购前需经发包人确认后封样，否则无条件更换。</w:t>
            </w:r>
          </w:p>
          <w:p w14:paraId="713E38A3">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textAlignment w:val="auto"/>
              <w:rPr>
                <w:rFonts w:hint="eastAsia" w:ascii="仿宋" w:hAnsi="仿宋" w:eastAsia="仿宋" w:cs="仿宋"/>
                <w:b w:val="0"/>
                <w:caps w:val="0"/>
                <w:kern w:val="2"/>
                <w:sz w:val="30"/>
                <w:szCs w:val="30"/>
                <w:lang w:val="en-US" w:eastAsia="zh-CN" w:bidi="ar-SA"/>
              </w:rPr>
            </w:pPr>
            <w:r>
              <w:rPr>
                <w:rFonts w:hint="eastAsia" w:ascii="仿宋" w:hAnsi="仿宋" w:eastAsia="仿宋" w:cs="仿宋"/>
                <w:b w:val="0"/>
                <w:caps w:val="0"/>
                <w:kern w:val="2"/>
                <w:sz w:val="30"/>
                <w:szCs w:val="30"/>
                <w:lang w:val="en-US" w:eastAsia="zh-CN" w:bidi="ar-SA"/>
              </w:rPr>
              <w:t>本工程为维修改造项目，施工方应充分考虑夜间施工、材料及设备等垃圾的二次运输，施工单位在投标报价中安排合理的施工组织，相应费用应考虑在投标报价中，结算时不做调整。</w:t>
            </w:r>
          </w:p>
          <w:p w14:paraId="36565A37">
            <w:pPr>
              <w:pStyle w:val="6"/>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textAlignment w:val="auto"/>
              <w:rPr>
                <w:rFonts w:hint="eastAsia"/>
                <w:lang w:val="en-US" w:eastAsia="zh-CN"/>
              </w:rPr>
            </w:pPr>
            <w:r>
              <w:rPr>
                <w:rFonts w:hint="eastAsia" w:ascii="仿宋" w:hAnsi="仿宋" w:eastAsia="仿宋" w:cs="仿宋"/>
                <w:b w:val="0"/>
                <w:caps w:val="0"/>
                <w:kern w:val="2"/>
                <w:sz w:val="30"/>
                <w:szCs w:val="30"/>
                <w:lang w:val="en-US" w:eastAsia="zh-CN" w:bidi="ar-SA"/>
              </w:rPr>
              <w:t>检验试验费：是指施工企业按照有关标准规定，对建筑以及材料、构件和建筑安装物进行一般鉴定、检查所发生的费用，包括自设试验室进行试验所耗用的材料等费用。不包括新结构、新材料的试验费，对构件做破坏性试验及其他特殊要求检验试验的费用和建设单位委托检测机构进行检测的费用，对此类检测发生的费用，由建设单位支付。但对施工企业提供的具有合格证明的材料进行检测不合格的，该检测费用由施工企业支付。对上述材料检验试验费未包含部分的费用，结算时应按施工企业缴费凭证据实调整。</w:t>
            </w:r>
          </w:p>
          <w:p w14:paraId="2AE98C91">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textAlignment w:val="auto"/>
              <w:rPr>
                <w:rFonts w:hint="eastAsia" w:ascii="仿宋" w:hAnsi="仿宋" w:eastAsia="仿宋" w:cs="仿宋"/>
                <w:b w:val="0"/>
                <w:caps w:val="0"/>
                <w:kern w:val="2"/>
                <w:sz w:val="30"/>
                <w:szCs w:val="30"/>
                <w:lang w:val="en-US" w:eastAsia="zh-CN" w:bidi="ar-SA"/>
              </w:rPr>
            </w:pPr>
            <w:r>
              <w:rPr>
                <w:rFonts w:hint="eastAsia" w:ascii="仿宋" w:hAnsi="仿宋" w:eastAsia="仿宋" w:cs="仿宋"/>
                <w:b w:val="0"/>
                <w:caps w:val="0"/>
                <w:kern w:val="2"/>
                <w:sz w:val="30"/>
                <w:szCs w:val="30"/>
                <w:lang w:val="en-US" w:eastAsia="zh-CN" w:bidi="ar-SA"/>
              </w:rPr>
              <w:t>本工程为维修工程未计取建筑工人实名制费用。</w:t>
            </w:r>
          </w:p>
          <w:p w14:paraId="614C461A">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b w:val="0"/>
                <w:caps w:val="0"/>
                <w:kern w:val="2"/>
                <w:sz w:val="30"/>
                <w:szCs w:val="30"/>
                <w:lang w:val="en-US" w:eastAsia="zh-CN" w:bidi="ar-SA"/>
              </w:rPr>
              <w:t>本说明未尽事项，以计价规范、工程量计算规范、计价管理办法、招标文件以及有关的法律、法规、建设行政主管部门颁发的文件为准</w:t>
            </w:r>
            <w:r>
              <w:rPr>
                <w:rFonts w:hint="eastAsia" w:ascii="仿宋" w:hAnsi="仿宋" w:eastAsia="仿宋" w:cs="仿宋"/>
                <w:sz w:val="30"/>
                <w:szCs w:val="30"/>
                <w:lang w:val="en-US" w:eastAsia="zh-CN"/>
              </w:rPr>
              <w:t>。</w:t>
            </w:r>
          </w:p>
          <w:p w14:paraId="2FA80C2E">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附件1：综合单价公示价格表</w:t>
            </w:r>
          </w:p>
          <w:p w14:paraId="4FF45E68">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附件2：主要设备材料性能技术参数参考表</w:t>
            </w:r>
          </w:p>
          <w:p w14:paraId="2B1BFCFA">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00" w:firstLineChars="200"/>
              <w:jc w:val="lef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附件3：投标报价汇总表</w:t>
            </w:r>
          </w:p>
        </w:tc>
      </w:tr>
    </w:tbl>
    <w:p w14:paraId="51CFE034">
      <w:pPr>
        <w:spacing w:line="100" w:lineRule="exact"/>
        <w:rPr>
          <w:rFonts w:hint="eastAsia"/>
          <w:sz w:val="28"/>
          <w:szCs w:val="28"/>
        </w:rPr>
      </w:pPr>
    </w:p>
    <w:p w14:paraId="608EA026">
      <w:pPr>
        <w:spacing w:line="100" w:lineRule="exact"/>
        <w:rPr>
          <w:rFonts w:hint="eastAsia"/>
          <w:sz w:val="28"/>
          <w:szCs w:val="28"/>
        </w:rPr>
      </w:pPr>
    </w:p>
    <w:p w14:paraId="3352BDA5">
      <w:pPr>
        <w:spacing w:line="100" w:lineRule="exact"/>
        <w:rPr>
          <w:rFonts w:hint="eastAsia"/>
          <w:sz w:val="28"/>
          <w:szCs w:val="28"/>
        </w:rPr>
      </w:pPr>
    </w:p>
    <w:p w14:paraId="7DB95573">
      <w:pPr>
        <w:spacing w:line="100" w:lineRule="exact"/>
        <w:rPr>
          <w:rFonts w:hint="eastAsia"/>
          <w:sz w:val="28"/>
          <w:szCs w:val="28"/>
        </w:rPr>
      </w:pPr>
    </w:p>
    <w:p w14:paraId="026CA4DD">
      <w:pPr>
        <w:spacing w:line="100" w:lineRule="exact"/>
        <w:rPr>
          <w:rFonts w:hint="eastAsia"/>
          <w:sz w:val="28"/>
          <w:szCs w:val="28"/>
        </w:rPr>
      </w:pPr>
    </w:p>
    <w:p w14:paraId="7721149E">
      <w:pPr>
        <w:spacing w:line="100" w:lineRule="exact"/>
        <w:rPr>
          <w:rFonts w:hint="eastAsia"/>
          <w:sz w:val="28"/>
          <w:szCs w:val="28"/>
        </w:rPr>
      </w:pPr>
    </w:p>
    <w:p w14:paraId="222D660F">
      <w:pPr>
        <w:spacing w:line="100" w:lineRule="exact"/>
        <w:rPr>
          <w:rFonts w:hint="eastAsia"/>
          <w:sz w:val="28"/>
          <w:szCs w:val="28"/>
        </w:rPr>
      </w:pPr>
    </w:p>
    <w:p w14:paraId="3121B201">
      <w:pPr>
        <w:spacing w:line="100" w:lineRule="exact"/>
        <w:rPr>
          <w:rFonts w:hint="eastAsia"/>
          <w:sz w:val="28"/>
          <w:szCs w:val="28"/>
        </w:rPr>
      </w:pPr>
    </w:p>
    <w:p w14:paraId="625E6B91">
      <w:pPr>
        <w:spacing w:line="100" w:lineRule="exact"/>
        <w:rPr>
          <w:rFonts w:hint="eastAsia"/>
          <w:sz w:val="28"/>
          <w:szCs w:val="28"/>
        </w:rPr>
      </w:pPr>
    </w:p>
    <w:p w14:paraId="05F50BD6">
      <w:pPr>
        <w:spacing w:line="100" w:lineRule="exact"/>
        <w:rPr>
          <w:rFonts w:hint="eastAsia"/>
          <w:sz w:val="28"/>
          <w:szCs w:val="28"/>
        </w:rPr>
      </w:pPr>
    </w:p>
    <w:p w14:paraId="2137AD75">
      <w:pPr>
        <w:spacing w:line="100" w:lineRule="exact"/>
        <w:rPr>
          <w:rFonts w:hint="eastAsia"/>
          <w:sz w:val="28"/>
          <w:szCs w:val="28"/>
        </w:rPr>
      </w:pPr>
    </w:p>
    <w:p w14:paraId="3FFA229A">
      <w:pPr>
        <w:spacing w:line="100" w:lineRule="exact"/>
        <w:rPr>
          <w:rFonts w:hint="eastAsia"/>
          <w:sz w:val="28"/>
          <w:szCs w:val="28"/>
        </w:rPr>
      </w:pPr>
    </w:p>
    <w:p w14:paraId="41E0059B">
      <w:pPr>
        <w:spacing w:line="100" w:lineRule="exact"/>
        <w:rPr>
          <w:rFonts w:hint="eastAsia"/>
          <w:sz w:val="28"/>
          <w:szCs w:val="28"/>
        </w:rPr>
      </w:pPr>
    </w:p>
    <w:p w14:paraId="3FC91937">
      <w:pPr>
        <w:spacing w:line="100" w:lineRule="exact"/>
        <w:rPr>
          <w:rFonts w:hint="eastAsia"/>
          <w:sz w:val="28"/>
          <w:szCs w:val="28"/>
        </w:rPr>
      </w:pPr>
    </w:p>
    <w:p w14:paraId="63EAEC32">
      <w:pPr>
        <w:spacing w:line="100" w:lineRule="exact"/>
        <w:rPr>
          <w:rFonts w:hint="eastAsia"/>
          <w:sz w:val="28"/>
          <w:szCs w:val="28"/>
        </w:rPr>
      </w:pPr>
    </w:p>
    <w:p w14:paraId="06DB600B">
      <w:pPr>
        <w:spacing w:line="100" w:lineRule="exact"/>
        <w:rPr>
          <w:rFonts w:hint="eastAsia"/>
          <w:sz w:val="28"/>
          <w:szCs w:val="28"/>
        </w:rPr>
      </w:pPr>
    </w:p>
    <w:p w14:paraId="28669A12">
      <w:pPr>
        <w:spacing w:line="100" w:lineRule="exact"/>
        <w:rPr>
          <w:rFonts w:hint="eastAsia"/>
          <w:sz w:val="28"/>
          <w:szCs w:val="28"/>
          <w:lang w:val="en-US" w:eastAsia="zh-CN"/>
        </w:rPr>
      </w:pPr>
    </w:p>
    <w:p w14:paraId="792C5FC7">
      <w:pPr>
        <w:spacing w:line="100" w:lineRule="exact"/>
        <w:rPr>
          <w:rFonts w:hint="eastAsia"/>
          <w:sz w:val="28"/>
          <w:szCs w:val="28"/>
          <w:lang w:val="en-US" w:eastAsia="zh-CN"/>
        </w:rPr>
      </w:pPr>
    </w:p>
    <w:p w14:paraId="7ED2AFF6">
      <w:pPr>
        <w:spacing w:line="100" w:lineRule="exact"/>
        <w:rPr>
          <w:rFonts w:hint="eastAsia"/>
          <w:sz w:val="28"/>
          <w:szCs w:val="28"/>
          <w:lang w:val="en-US" w:eastAsia="zh-CN"/>
        </w:rPr>
      </w:pPr>
    </w:p>
    <w:p w14:paraId="44F844F3">
      <w:pPr>
        <w:spacing w:line="100" w:lineRule="exact"/>
        <w:rPr>
          <w:rFonts w:hint="eastAsia"/>
          <w:sz w:val="28"/>
          <w:szCs w:val="28"/>
          <w:lang w:val="en-US" w:eastAsia="zh-CN"/>
        </w:rPr>
      </w:pPr>
    </w:p>
    <w:p w14:paraId="54AB4ACB">
      <w:pPr>
        <w:keepNext w:val="0"/>
        <w:keepLines w:val="0"/>
        <w:widowControl/>
        <w:suppressLineNumbers w:val="0"/>
        <w:jc w:val="left"/>
        <w:textAlignment w:val="center"/>
        <w:rPr>
          <w:rFonts w:hint="eastAsia" w:ascii="仿宋" w:hAnsi="仿宋" w:eastAsia="仿宋" w:cs="仿宋"/>
          <w:b w:val="0"/>
          <w:bCs w:val="0"/>
          <w:i w:val="0"/>
          <w:iCs w:val="0"/>
          <w:color w:val="000000" w:themeColor="text1"/>
          <w:kern w:val="0"/>
          <w:sz w:val="32"/>
          <w:szCs w:val="32"/>
          <w:u w:val="none"/>
          <w:lang w:val="en-US" w:eastAsia="zh-CN" w:bidi="ar"/>
          <w14:textFill>
            <w14:solidFill>
              <w14:schemeClr w14:val="tx1"/>
            </w14:solidFill>
          </w14:textFill>
        </w:rPr>
      </w:pPr>
    </w:p>
    <w:p w14:paraId="7F27C8FD">
      <w:pPr>
        <w:keepNext w:val="0"/>
        <w:keepLines w:val="0"/>
        <w:widowControl/>
        <w:suppressLineNumbers w:val="0"/>
        <w:jc w:val="left"/>
        <w:textAlignment w:val="center"/>
        <w:rPr>
          <w:rFonts w:hint="eastAsia" w:ascii="仿宋" w:hAnsi="仿宋" w:eastAsia="仿宋" w:cs="仿宋"/>
          <w:b w:val="0"/>
          <w:bCs w:val="0"/>
          <w:i w:val="0"/>
          <w:iCs w:val="0"/>
          <w:color w:val="000000" w:themeColor="text1"/>
          <w:kern w:val="0"/>
          <w:sz w:val="32"/>
          <w:szCs w:val="32"/>
          <w:u w:val="none"/>
          <w:lang w:val="en-US" w:eastAsia="zh-CN" w:bidi="ar"/>
          <w14:textFill>
            <w14:solidFill>
              <w14:schemeClr w14:val="tx1"/>
            </w14:solidFill>
          </w14:textFill>
        </w:rPr>
      </w:pPr>
    </w:p>
    <w:p w14:paraId="159C0152">
      <w:pPr>
        <w:keepNext w:val="0"/>
        <w:keepLines w:val="0"/>
        <w:widowControl/>
        <w:suppressLineNumbers w:val="0"/>
        <w:jc w:val="left"/>
        <w:textAlignment w:val="center"/>
        <w:rPr>
          <w:rFonts w:hint="eastAsia" w:ascii="仿宋" w:hAnsi="仿宋" w:eastAsia="仿宋" w:cs="仿宋"/>
          <w:b w:val="0"/>
          <w:bCs w:val="0"/>
          <w:i w:val="0"/>
          <w:iCs w:val="0"/>
          <w:color w:val="000000" w:themeColor="text1"/>
          <w:kern w:val="0"/>
          <w:sz w:val="32"/>
          <w:szCs w:val="32"/>
          <w:u w:val="none"/>
          <w:lang w:val="en-US" w:eastAsia="zh-CN" w:bidi="ar"/>
          <w14:textFill>
            <w14:solidFill>
              <w14:schemeClr w14:val="tx1"/>
            </w14:solidFill>
          </w14:textFill>
        </w:rPr>
      </w:pPr>
    </w:p>
    <w:p w14:paraId="0D0DA922">
      <w:pPr>
        <w:keepNext w:val="0"/>
        <w:keepLines w:val="0"/>
        <w:widowControl/>
        <w:suppressLineNumbers w:val="0"/>
        <w:jc w:val="left"/>
        <w:textAlignment w:val="center"/>
        <w:rPr>
          <w:rFonts w:hint="default"/>
          <w:sz w:val="28"/>
          <w:szCs w:val="28"/>
          <w:lang w:val="en-US" w:eastAsia="zh-CN"/>
        </w:rPr>
      </w:pPr>
      <w:r>
        <w:rPr>
          <w:rFonts w:hint="eastAsia" w:ascii="仿宋" w:hAnsi="仿宋" w:eastAsia="仿宋" w:cs="仿宋"/>
          <w:b w:val="0"/>
          <w:bCs w:val="0"/>
          <w:i w:val="0"/>
          <w:iCs w:val="0"/>
          <w:color w:val="000000" w:themeColor="text1"/>
          <w:kern w:val="0"/>
          <w:sz w:val="32"/>
          <w:szCs w:val="32"/>
          <w:u w:val="none"/>
          <w:lang w:val="en-US" w:eastAsia="zh-CN" w:bidi="ar"/>
          <w14:textFill>
            <w14:solidFill>
              <w14:schemeClr w14:val="tx1"/>
            </w14:solidFill>
          </w14:textFill>
        </w:rPr>
        <w:t>附件1</w:t>
      </w:r>
    </w:p>
    <w:p w14:paraId="07C759ED">
      <w:pPr>
        <w:spacing w:line="100" w:lineRule="exact"/>
        <w:rPr>
          <w:rFonts w:hint="eastAsia"/>
          <w:sz w:val="28"/>
          <w:szCs w:val="28"/>
        </w:rPr>
      </w:pPr>
    </w:p>
    <w:p w14:paraId="5B8DEC43">
      <w:pPr>
        <w:pBdr>
          <w:top w:val="none" w:color="auto" w:sz="0" w:space="0"/>
          <w:left w:val="none" w:color="auto" w:sz="0" w:space="0"/>
          <w:bottom w:val="none" w:color="auto" w:sz="0" w:space="0"/>
          <w:right w:val="none" w:color="auto" w:sz="0" w:space="0"/>
          <w:between w:val="none" w:color="auto" w:sz="0" w:space="0"/>
        </w:pBdr>
        <w:spacing w:line="100" w:lineRule="exact"/>
        <w:rPr>
          <w:rFonts w:hint="eastAsia"/>
          <w:sz w:val="28"/>
          <w:szCs w:val="28"/>
        </w:rPr>
      </w:pPr>
    </w:p>
    <w:tbl>
      <w:tblPr>
        <w:tblStyle w:val="9"/>
        <w:tblW w:w="8812" w:type="dxa"/>
        <w:tblInd w:w="-1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1076"/>
        <w:gridCol w:w="2616"/>
        <w:gridCol w:w="936"/>
        <w:gridCol w:w="1152"/>
        <w:gridCol w:w="1092"/>
        <w:gridCol w:w="995"/>
      </w:tblGrid>
      <w:tr w14:paraId="704E7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12" w:type="dxa"/>
            <w:gridSpan w:val="7"/>
            <w:tcBorders>
              <w:top w:val="nil"/>
              <w:left w:val="nil"/>
              <w:bottom w:val="nil"/>
              <w:right w:val="nil"/>
            </w:tcBorders>
            <w:noWrap w:val="0"/>
            <w:vAlign w:val="top"/>
          </w:tcPr>
          <w:p w14:paraId="44199100">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t>综合单价公示价格表</w:t>
            </w:r>
          </w:p>
        </w:tc>
      </w:tr>
      <w:tr w14:paraId="15BE2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trPr>
        <w:tc>
          <w:tcPr>
            <w:tcW w:w="9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370710C">
            <w:pPr>
              <w:pStyle w:val="11"/>
              <w:widowControl w:val="0"/>
              <w:numPr>
                <w:ilvl w:val="0"/>
                <w:numId w:val="0"/>
              </w:numPr>
              <w:spacing w:before="301" w:line="221" w:lineRule="auto"/>
              <w:ind w:left="0" w:leftChars="0" w:firstLine="0" w:firstLineChars="0"/>
              <w:jc w:val="center"/>
              <w:rPr>
                <w:rFonts w:hint="eastAsia" w:ascii="仿宋" w:hAnsi="仿宋" w:eastAsia="仿宋" w:cs="仿宋"/>
                <w:b/>
                <w:bCs/>
                <w:i w:val="0"/>
                <w:iCs w:val="0"/>
                <w:color w:val="000000" w:themeColor="text1"/>
                <w:kern w:val="0"/>
                <w:sz w:val="28"/>
                <w:szCs w:val="28"/>
                <w:u w:val="none"/>
                <w:lang w:val="en-US" w:eastAsia="en-US" w:bidi="ar"/>
                <w14:textFill>
                  <w14:solidFill>
                    <w14:schemeClr w14:val="tx1"/>
                  </w14:solidFill>
                </w14:textFill>
              </w:rPr>
            </w:pPr>
            <w:r>
              <w:rPr>
                <w:rFonts w:hint="eastAsia" w:ascii="仿宋" w:hAnsi="仿宋" w:eastAsia="仿宋" w:cs="仿宋"/>
                <w:b/>
                <w:bCs/>
                <w:i w:val="0"/>
                <w:iCs w:val="0"/>
                <w:color w:val="000000" w:themeColor="text1"/>
                <w:kern w:val="0"/>
                <w:sz w:val="28"/>
                <w:szCs w:val="28"/>
                <w:u w:val="none"/>
                <w:lang w:val="en-US" w:eastAsia="zh-CN" w:bidi="ar"/>
                <w14:textFill>
                  <w14:solidFill>
                    <w14:schemeClr w14:val="tx1"/>
                  </w14:solidFill>
                </w14:textFill>
              </w:rPr>
              <w:t>序号</w:t>
            </w:r>
          </w:p>
        </w:tc>
        <w:tc>
          <w:tcPr>
            <w:tcW w:w="1076" w:type="dxa"/>
            <w:tcBorders>
              <w:top w:val="single" w:color="auto" w:sz="4" w:space="0"/>
              <w:left w:val="single" w:color="auto" w:sz="4" w:space="0"/>
              <w:bottom w:val="single" w:color="auto" w:sz="4" w:space="0"/>
            </w:tcBorders>
            <w:shd w:val="clear" w:color="auto" w:fill="auto"/>
            <w:noWrap w:val="0"/>
            <w:vAlign w:val="center"/>
          </w:tcPr>
          <w:p w14:paraId="0A853820">
            <w:pPr>
              <w:pStyle w:val="11"/>
              <w:widowControl w:val="0"/>
              <w:numPr>
                <w:ilvl w:val="0"/>
                <w:numId w:val="0"/>
              </w:numPr>
              <w:spacing w:before="303" w:line="221" w:lineRule="auto"/>
              <w:ind w:left="0" w:leftChars="0" w:firstLine="0" w:firstLineChars="0"/>
              <w:jc w:val="center"/>
              <w:rPr>
                <w:rFonts w:hint="default" w:ascii="仿宋" w:hAnsi="仿宋" w:eastAsia="仿宋" w:cs="仿宋"/>
                <w:b/>
                <w:bCs/>
                <w:i w:val="0"/>
                <w:iCs w:val="0"/>
                <w:color w:val="000000" w:themeColor="text1"/>
                <w:kern w:val="0"/>
                <w:sz w:val="28"/>
                <w:szCs w:val="28"/>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28"/>
                <w:szCs w:val="28"/>
                <w:u w:val="none"/>
                <w:lang w:val="en-US" w:eastAsia="zh-CN" w:bidi="ar"/>
                <w14:textFill>
                  <w14:solidFill>
                    <w14:schemeClr w14:val="tx1"/>
                  </w14:solidFill>
                </w14:textFill>
              </w:rPr>
              <w:t>名称</w:t>
            </w:r>
          </w:p>
        </w:tc>
        <w:tc>
          <w:tcPr>
            <w:tcW w:w="2616" w:type="dxa"/>
            <w:shd w:val="clear" w:color="auto" w:fill="auto"/>
            <w:noWrap w:val="0"/>
            <w:vAlign w:val="center"/>
          </w:tcPr>
          <w:p w14:paraId="1497C0DB">
            <w:pPr>
              <w:pStyle w:val="11"/>
              <w:widowControl w:val="0"/>
              <w:numPr>
                <w:ilvl w:val="0"/>
                <w:numId w:val="0"/>
              </w:numPr>
              <w:spacing w:before="299" w:line="219" w:lineRule="auto"/>
              <w:ind w:left="0" w:leftChars="0" w:firstLine="0" w:firstLineChars="0"/>
              <w:jc w:val="center"/>
              <w:rPr>
                <w:rFonts w:hint="eastAsia" w:ascii="仿宋" w:hAnsi="仿宋" w:eastAsia="仿宋" w:cs="仿宋"/>
                <w:b/>
                <w:bCs/>
                <w:i w:val="0"/>
                <w:iCs w:val="0"/>
                <w:color w:val="000000" w:themeColor="text1"/>
                <w:kern w:val="0"/>
                <w:sz w:val="28"/>
                <w:szCs w:val="28"/>
                <w:u w:val="none"/>
                <w:lang w:val="en-US" w:eastAsia="en-US" w:bidi="ar"/>
                <w14:textFill>
                  <w14:solidFill>
                    <w14:schemeClr w14:val="tx1"/>
                  </w14:solidFill>
                </w14:textFill>
              </w:rPr>
            </w:pPr>
            <w:r>
              <w:rPr>
                <w:rFonts w:hint="eastAsia" w:ascii="仿宋" w:hAnsi="仿宋" w:eastAsia="仿宋" w:cs="仿宋"/>
                <w:b/>
                <w:bCs/>
                <w:i w:val="0"/>
                <w:iCs w:val="0"/>
                <w:color w:val="000000" w:themeColor="text1"/>
                <w:kern w:val="0"/>
                <w:sz w:val="28"/>
                <w:szCs w:val="28"/>
                <w:u w:val="none"/>
                <w:lang w:val="en-US" w:eastAsia="zh-CN" w:bidi="ar"/>
                <w14:textFill>
                  <w14:solidFill>
                    <w14:schemeClr w14:val="tx1"/>
                  </w14:solidFill>
                </w14:textFill>
              </w:rPr>
              <w:t>规格型号</w:t>
            </w:r>
          </w:p>
        </w:tc>
        <w:tc>
          <w:tcPr>
            <w:tcW w:w="936" w:type="dxa"/>
            <w:shd w:val="clear" w:color="auto" w:fill="auto"/>
            <w:noWrap w:val="0"/>
            <w:vAlign w:val="center"/>
          </w:tcPr>
          <w:p w14:paraId="33EBF6A0">
            <w:pPr>
              <w:pStyle w:val="11"/>
              <w:widowControl w:val="0"/>
              <w:numPr>
                <w:ilvl w:val="0"/>
                <w:numId w:val="0"/>
              </w:numPr>
              <w:spacing w:before="300" w:line="220" w:lineRule="auto"/>
              <w:ind w:left="0" w:leftChars="0" w:firstLine="0" w:firstLineChars="0"/>
              <w:jc w:val="center"/>
              <w:rPr>
                <w:rFonts w:hint="eastAsia" w:ascii="仿宋" w:hAnsi="仿宋" w:eastAsia="仿宋" w:cs="仿宋"/>
                <w:b/>
                <w:bCs/>
                <w:i w:val="0"/>
                <w:iCs w:val="0"/>
                <w:color w:val="000000" w:themeColor="text1"/>
                <w:kern w:val="0"/>
                <w:sz w:val="28"/>
                <w:szCs w:val="28"/>
                <w:u w:val="none"/>
                <w:lang w:val="en-US" w:eastAsia="en-US" w:bidi="ar"/>
                <w14:textFill>
                  <w14:solidFill>
                    <w14:schemeClr w14:val="tx1"/>
                  </w14:solidFill>
                </w14:textFill>
              </w:rPr>
            </w:pPr>
            <w:r>
              <w:rPr>
                <w:rFonts w:hint="eastAsia" w:ascii="仿宋" w:hAnsi="仿宋" w:eastAsia="仿宋" w:cs="仿宋"/>
                <w:b/>
                <w:bCs/>
                <w:i w:val="0"/>
                <w:iCs w:val="0"/>
                <w:color w:val="000000" w:themeColor="text1"/>
                <w:kern w:val="0"/>
                <w:sz w:val="28"/>
                <w:szCs w:val="28"/>
                <w:u w:val="none"/>
                <w:lang w:val="en-US" w:eastAsia="zh-CN" w:bidi="ar"/>
                <w14:textFill>
                  <w14:solidFill>
                    <w14:schemeClr w14:val="tx1"/>
                  </w14:solidFill>
                </w14:textFill>
              </w:rPr>
              <w:t>单位</w:t>
            </w:r>
          </w:p>
        </w:tc>
        <w:tc>
          <w:tcPr>
            <w:tcW w:w="1152" w:type="dxa"/>
            <w:shd w:val="clear" w:color="auto" w:fill="auto"/>
            <w:noWrap w:val="0"/>
            <w:vAlign w:val="center"/>
          </w:tcPr>
          <w:p w14:paraId="04C6CB6C">
            <w:pPr>
              <w:pStyle w:val="11"/>
              <w:widowControl w:val="0"/>
              <w:numPr>
                <w:ilvl w:val="0"/>
                <w:numId w:val="0"/>
              </w:numPr>
              <w:spacing w:before="110" w:line="219" w:lineRule="auto"/>
              <w:ind w:leftChars="0"/>
              <w:jc w:val="center"/>
              <w:rPr>
                <w:rFonts w:hint="eastAsia" w:ascii="仿宋" w:hAnsi="仿宋" w:eastAsia="仿宋" w:cs="仿宋"/>
                <w:b/>
                <w:bCs/>
                <w:i w:val="0"/>
                <w:iCs w:val="0"/>
                <w:color w:val="000000" w:themeColor="text1"/>
                <w:kern w:val="0"/>
                <w:sz w:val="28"/>
                <w:szCs w:val="28"/>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28"/>
                <w:szCs w:val="28"/>
                <w:u w:val="none"/>
                <w:lang w:val="en-US" w:eastAsia="zh-CN" w:bidi="ar"/>
                <w14:textFill>
                  <w14:solidFill>
                    <w14:schemeClr w14:val="tx1"/>
                  </w14:solidFill>
                </w14:textFill>
              </w:rPr>
              <w:t>不含税市场价</w:t>
            </w:r>
          </w:p>
        </w:tc>
        <w:tc>
          <w:tcPr>
            <w:tcW w:w="1092" w:type="dxa"/>
            <w:shd w:val="clear" w:color="auto" w:fill="auto"/>
            <w:noWrap w:val="0"/>
            <w:vAlign w:val="center"/>
          </w:tcPr>
          <w:p w14:paraId="3FD17937">
            <w:pPr>
              <w:pStyle w:val="11"/>
              <w:widowControl w:val="0"/>
              <w:numPr>
                <w:ilvl w:val="0"/>
                <w:numId w:val="0"/>
              </w:numPr>
              <w:spacing w:before="78" w:line="221" w:lineRule="auto"/>
              <w:ind w:left="0" w:leftChars="0" w:firstLine="0" w:firstLineChars="0"/>
              <w:jc w:val="center"/>
              <w:rPr>
                <w:rFonts w:hint="eastAsia" w:ascii="仿宋" w:hAnsi="仿宋" w:eastAsia="仿宋" w:cs="仿宋"/>
                <w:b/>
                <w:bCs/>
                <w:i w:val="0"/>
                <w:iCs w:val="0"/>
                <w:color w:val="000000" w:themeColor="text1"/>
                <w:kern w:val="0"/>
                <w:sz w:val="28"/>
                <w:szCs w:val="28"/>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28"/>
                <w:szCs w:val="28"/>
                <w:u w:val="none"/>
                <w:lang w:val="en-US" w:eastAsia="zh-CN" w:bidi="ar"/>
                <w14:textFill>
                  <w14:solidFill>
                    <w14:schemeClr w14:val="tx1"/>
                  </w14:solidFill>
                </w14:textFill>
              </w:rPr>
              <w:t>投标</w:t>
            </w:r>
          </w:p>
          <w:p w14:paraId="4FF5D088">
            <w:pPr>
              <w:pStyle w:val="11"/>
              <w:widowControl w:val="0"/>
              <w:numPr>
                <w:ilvl w:val="0"/>
                <w:numId w:val="0"/>
              </w:numPr>
              <w:spacing w:before="78" w:line="221" w:lineRule="auto"/>
              <w:ind w:left="0" w:leftChars="0" w:firstLine="0" w:firstLineChars="0"/>
              <w:jc w:val="center"/>
              <w:rPr>
                <w:rFonts w:hint="default" w:ascii="仿宋" w:hAnsi="仿宋" w:eastAsia="仿宋" w:cs="仿宋"/>
                <w:b/>
                <w:bCs/>
                <w:i w:val="0"/>
                <w:iCs w:val="0"/>
                <w:color w:val="000000" w:themeColor="text1"/>
                <w:kern w:val="0"/>
                <w:sz w:val="28"/>
                <w:szCs w:val="28"/>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28"/>
                <w:szCs w:val="28"/>
                <w:u w:val="none"/>
                <w:lang w:val="en-US" w:eastAsia="zh-CN" w:bidi="ar"/>
                <w14:textFill>
                  <w14:solidFill>
                    <w14:schemeClr w14:val="tx1"/>
                  </w14:solidFill>
                </w14:textFill>
              </w:rPr>
              <w:t>报价</w:t>
            </w:r>
          </w:p>
        </w:tc>
        <w:tc>
          <w:tcPr>
            <w:tcW w:w="995" w:type="dxa"/>
            <w:shd w:val="clear" w:color="auto" w:fill="auto"/>
            <w:noWrap w:val="0"/>
            <w:vAlign w:val="center"/>
          </w:tcPr>
          <w:p w14:paraId="01A34498">
            <w:pPr>
              <w:pStyle w:val="11"/>
              <w:widowControl w:val="0"/>
              <w:numPr>
                <w:ilvl w:val="0"/>
                <w:numId w:val="0"/>
              </w:numPr>
              <w:spacing w:before="78" w:line="221" w:lineRule="auto"/>
              <w:ind w:left="0" w:leftChars="0" w:firstLine="0" w:firstLineChars="0"/>
              <w:jc w:val="center"/>
              <w:rPr>
                <w:rFonts w:hint="eastAsia" w:ascii="仿宋" w:hAnsi="仿宋" w:eastAsia="仿宋" w:cs="仿宋"/>
                <w:b/>
                <w:bCs/>
                <w:i w:val="0"/>
                <w:iCs w:val="0"/>
                <w:color w:val="000000" w:themeColor="text1"/>
                <w:kern w:val="0"/>
                <w:sz w:val="28"/>
                <w:szCs w:val="28"/>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28"/>
                <w:szCs w:val="28"/>
                <w:u w:val="none"/>
                <w:lang w:val="en-US" w:eastAsia="zh-CN" w:bidi="ar"/>
                <w14:textFill>
                  <w14:solidFill>
                    <w14:schemeClr w14:val="tx1"/>
                  </w14:solidFill>
                </w14:textFill>
              </w:rPr>
              <w:t>备注</w:t>
            </w:r>
          </w:p>
        </w:tc>
      </w:tr>
      <w:tr w14:paraId="79E26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tcBorders>
              <w:top w:val="single" w:color="auto" w:sz="4" w:space="0"/>
              <w:left w:val="single" w:color="auto" w:sz="4" w:space="0"/>
              <w:bottom w:val="single" w:color="auto" w:sz="4" w:space="0"/>
              <w:right w:val="single" w:color="auto" w:sz="4" w:space="0"/>
            </w:tcBorders>
            <w:noWrap w:val="0"/>
            <w:vAlign w:val="center"/>
          </w:tcPr>
          <w:p w14:paraId="1E4A2B0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1076" w:type="dxa"/>
            <w:tcBorders>
              <w:top w:val="single" w:color="auto" w:sz="4" w:space="0"/>
              <w:left w:val="single" w:color="auto" w:sz="4" w:space="0"/>
              <w:bottom w:val="single" w:color="auto" w:sz="4" w:space="0"/>
            </w:tcBorders>
            <w:noWrap w:val="0"/>
            <w:vAlign w:val="center"/>
          </w:tcPr>
          <w:p w14:paraId="065EB28B">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金属栏杆</w:t>
            </w:r>
          </w:p>
        </w:tc>
        <w:tc>
          <w:tcPr>
            <w:tcW w:w="2616" w:type="dxa"/>
            <w:noWrap w:val="0"/>
            <w:vAlign w:val="top"/>
          </w:tcPr>
          <w:p w14:paraId="15698707">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en-US" w:bidi="ar"/>
              </w:rPr>
            </w:pPr>
            <w:r>
              <w:rPr>
                <w:rFonts w:hint="eastAsia" w:ascii="仿宋" w:hAnsi="仿宋" w:eastAsia="仿宋" w:cs="仿宋"/>
                <w:i w:val="0"/>
                <w:iCs w:val="0"/>
                <w:color w:val="000000"/>
                <w:kern w:val="0"/>
                <w:sz w:val="24"/>
                <w:szCs w:val="24"/>
                <w:u w:val="none"/>
                <w:lang w:val="en-US" w:eastAsia="en-US" w:bidi="ar"/>
              </w:rPr>
              <w:t>1.栏杆材料种类、规格:镀锌方钢，立柱100*100*4mm，横向栅栏40*40*2.5mm，中间竖向栅栏20*20*1.5mm</w:t>
            </w:r>
          </w:p>
          <w:p w14:paraId="623DCCD6">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en-US" w:bidi="ar"/>
              </w:rPr>
            </w:pPr>
            <w:r>
              <w:rPr>
                <w:rFonts w:hint="eastAsia" w:ascii="仿宋" w:hAnsi="仿宋" w:eastAsia="仿宋" w:cs="仿宋"/>
                <w:i w:val="0"/>
                <w:iCs w:val="0"/>
                <w:color w:val="000000"/>
                <w:kern w:val="0"/>
                <w:sz w:val="24"/>
                <w:szCs w:val="24"/>
                <w:u w:val="none"/>
                <w:lang w:val="en-US" w:eastAsia="en-US" w:bidi="ar"/>
              </w:rPr>
              <w:t>2.栏杆高度：2m</w:t>
            </w:r>
          </w:p>
          <w:p w14:paraId="204A3E7D">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en-US" w:bidi="ar"/>
              </w:rPr>
            </w:pPr>
            <w:r>
              <w:rPr>
                <w:rFonts w:hint="eastAsia" w:ascii="仿宋" w:hAnsi="仿宋" w:eastAsia="仿宋" w:cs="仿宋"/>
                <w:i w:val="0"/>
                <w:iCs w:val="0"/>
                <w:color w:val="000000"/>
                <w:kern w:val="0"/>
                <w:sz w:val="24"/>
                <w:szCs w:val="24"/>
                <w:u w:val="none"/>
                <w:lang w:val="en-US" w:eastAsia="en-US" w:bidi="ar"/>
              </w:rPr>
              <w:t>3.颜色：立柱和横向栅栏为天蓝色防锈漆，中间竖向栅栏为白色防锈漆</w:t>
            </w:r>
          </w:p>
        </w:tc>
        <w:tc>
          <w:tcPr>
            <w:tcW w:w="936" w:type="dxa"/>
            <w:noWrap w:val="0"/>
            <w:vAlign w:val="center"/>
          </w:tcPr>
          <w:p w14:paraId="4C4F7D0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en-US" w:bidi="ar"/>
              </w:rPr>
            </w:pPr>
            <w:r>
              <w:rPr>
                <w:rFonts w:hint="eastAsia" w:ascii="仿宋" w:hAnsi="仿宋" w:eastAsia="仿宋" w:cs="仿宋"/>
                <w:i w:val="0"/>
                <w:iCs w:val="0"/>
                <w:color w:val="000000"/>
                <w:kern w:val="0"/>
                <w:sz w:val="24"/>
                <w:szCs w:val="24"/>
                <w:u w:val="none"/>
                <w:lang w:val="en-US" w:eastAsia="zh-CN" w:bidi="ar"/>
              </w:rPr>
              <w:t>m</w:t>
            </w:r>
          </w:p>
        </w:tc>
        <w:tc>
          <w:tcPr>
            <w:tcW w:w="1152" w:type="dxa"/>
            <w:noWrap w:val="0"/>
            <w:vAlign w:val="center"/>
          </w:tcPr>
          <w:p w14:paraId="3EC1F9D1">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310</w:t>
            </w:r>
          </w:p>
        </w:tc>
        <w:tc>
          <w:tcPr>
            <w:tcW w:w="1092" w:type="dxa"/>
            <w:noWrap w:val="0"/>
            <w:vAlign w:val="center"/>
          </w:tcPr>
          <w:p w14:paraId="5E52CCE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995" w:type="dxa"/>
            <w:noWrap w:val="0"/>
            <w:vAlign w:val="center"/>
          </w:tcPr>
          <w:p w14:paraId="568080A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bookmarkStart w:id="0" w:name="_GoBack"/>
            <w:bookmarkEnd w:id="0"/>
          </w:p>
        </w:tc>
      </w:tr>
    </w:tbl>
    <w:p w14:paraId="176C70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sectPr>
          <w:pgSz w:w="11906" w:h="16838"/>
          <w:pgMar w:top="1440" w:right="1803" w:bottom="1440" w:left="1803" w:header="851" w:footer="992" w:gutter="0"/>
          <w:cols w:space="0" w:num="1"/>
          <w:rtlGutter w:val="0"/>
          <w:docGrid w:type="lines" w:linePitch="319" w:charSpace="0"/>
        </w:sectPr>
      </w:pPr>
      <w:r>
        <w:rPr>
          <w:rFonts w:hint="eastAsia" w:ascii="仿宋" w:hAnsi="仿宋" w:eastAsia="仿宋" w:cs="仿宋"/>
          <w:sz w:val="24"/>
          <w:szCs w:val="24"/>
        </w:rPr>
        <w:t>备注：主要材料设备的投标报价与此表中公示的材料价和设备价格的正偏差不得超过5%，否则中标后发包人可根据公示价格选择材料、设备的品牌及档次标准。采购标准及参数需要以图纸及清单所提标准为基准，不得低于该使用标准）</w:t>
      </w:r>
    </w:p>
    <w:tbl>
      <w:tblPr>
        <w:tblStyle w:val="8"/>
        <w:tblW w:w="487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300"/>
      </w:tblGrid>
      <w:tr w14:paraId="45423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261" w:hRule="atLeast"/>
        </w:trPr>
        <w:tc>
          <w:tcPr>
            <w:tcW w:w="5000" w:type="pct"/>
            <w:tcBorders>
              <w:top w:val="nil"/>
              <w:left w:val="nil"/>
              <w:bottom w:val="nil"/>
              <w:right w:val="nil"/>
            </w:tcBorders>
            <w:shd w:val="clear" w:color="auto" w:fill="auto"/>
            <w:noWrap/>
            <w:vAlign w:val="center"/>
          </w:tcPr>
          <w:p w14:paraId="23984B07">
            <w:pPr>
              <w:keepNext w:val="0"/>
              <w:keepLines w:val="0"/>
              <w:widowControl/>
              <w:suppressLineNumbers w:val="0"/>
              <w:jc w:val="left"/>
              <w:textAlignment w:val="center"/>
              <w:rPr>
                <w:rFonts w:hint="default" w:ascii="仿宋" w:hAnsi="仿宋" w:eastAsia="仿宋" w:cs="仿宋"/>
                <w:b w:val="0"/>
                <w:bCs w:val="0"/>
                <w:i w:val="0"/>
                <w:iCs w:val="0"/>
                <w:color w:val="000000" w:themeColor="text1"/>
                <w:kern w:val="0"/>
                <w:sz w:val="32"/>
                <w:szCs w:val="32"/>
                <w:u w:val="none"/>
                <w:lang w:val="en-US" w:eastAsia="zh-CN" w:bidi="ar"/>
                <w14:textFill>
                  <w14:solidFill>
                    <w14:schemeClr w14:val="tx1"/>
                  </w14:solidFill>
                </w14:textFill>
              </w:rPr>
            </w:pPr>
            <w:r>
              <w:rPr>
                <w:rFonts w:hint="eastAsia" w:ascii="仿宋" w:hAnsi="仿宋" w:eastAsia="仿宋" w:cs="仿宋"/>
                <w:b w:val="0"/>
                <w:bCs w:val="0"/>
                <w:i w:val="0"/>
                <w:iCs w:val="0"/>
                <w:color w:val="000000" w:themeColor="text1"/>
                <w:kern w:val="0"/>
                <w:sz w:val="32"/>
                <w:szCs w:val="32"/>
                <w:u w:val="none"/>
                <w:lang w:val="en-US" w:eastAsia="zh-CN" w:bidi="ar"/>
                <w14:textFill>
                  <w14:solidFill>
                    <w14:schemeClr w14:val="tx1"/>
                  </w14:solidFill>
                </w14:textFill>
              </w:rPr>
              <w:t>附件2</w:t>
            </w:r>
          </w:p>
          <w:p w14:paraId="27C4B560">
            <w:pPr>
              <w:keepNext w:val="0"/>
              <w:keepLines w:val="0"/>
              <w:widowControl/>
              <w:suppressLineNumbers w:val="0"/>
              <w:jc w:val="center"/>
              <w:textAlignment w:val="center"/>
              <w:rPr>
                <w:rFonts w:ascii="仿宋" w:hAnsi="仿宋" w:eastAsia="仿宋" w:cs="仿宋"/>
                <w:b/>
                <w:bCs/>
                <w:i w:val="0"/>
                <w:iCs w:val="0"/>
                <w:color w:val="000000" w:themeColor="text1"/>
                <w:sz w:val="36"/>
                <w:szCs w:val="36"/>
                <w:u w:val="none"/>
                <w14:textFill>
                  <w14:solidFill>
                    <w14:schemeClr w14:val="tx1"/>
                  </w14:solidFill>
                </w14:textFill>
              </w:rPr>
            </w:pPr>
            <w: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t>主要设备材料性能技术参数参考表</w:t>
            </w:r>
          </w:p>
        </w:tc>
      </w:tr>
      <w:tr w14:paraId="31651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26" w:hRule="atLeast"/>
        </w:trPr>
        <w:tc>
          <w:tcPr>
            <w:tcW w:w="5000" w:type="pct"/>
            <w:tcBorders>
              <w:top w:val="nil"/>
              <w:left w:val="nil"/>
              <w:bottom w:val="nil"/>
              <w:right w:val="nil"/>
            </w:tcBorders>
            <w:shd w:val="clear" w:color="auto" w:fill="auto"/>
            <w:noWrap/>
            <w:vAlign w:val="center"/>
          </w:tcPr>
          <w:tbl>
            <w:tblPr>
              <w:tblStyle w:val="8"/>
              <w:tblpPr w:leftFromText="180" w:rightFromText="180" w:vertAnchor="text" w:horzAnchor="page" w:tblpX="47" w:tblpY="85"/>
              <w:tblOverlap w:val="never"/>
              <w:tblW w:w="817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22"/>
              <w:gridCol w:w="1248"/>
              <w:gridCol w:w="1726"/>
              <w:gridCol w:w="605"/>
              <w:gridCol w:w="929"/>
              <w:gridCol w:w="1507"/>
              <w:gridCol w:w="1640"/>
            </w:tblGrid>
            <w:tr w14:paraId="5F822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4"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CEF41">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序号</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D572D">
                  <w:pPr>
                    <w:keepNext w:val="0"/>
                    <w:keepLines w:val="0"/>
                    <w:widowControl/>
                    <w:suppressLineNumbers w:val="0"/>
                    <w:jc w:val="left"/>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材料名称</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E1A1A">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规格型号</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32819">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单位</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D4D58">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价格类型</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02896">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参考品牌</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32A5A">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投标品牌</w:t>
                  </w:r>
                </w:p>
              </w:tc>
            </w:tr>
            <w:tr w14:paraId="1048F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6"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A2BD3">
                  <w:pPr>
                    <w:keepNext w:val="0"/>
                    <w:keepLines w:val="0"/>
                    <w:widowControl/>
                    <w:numPr>
                      <w:ilvl w:val="0"/>
                      <w:numId w:val="2"/>
                    </w:numPr>
                    <w:suppressLineNumbers w:val="0"/>
                    <w:ind w:left="0" w:leftChars="0" w:firstLine="0" w:firstLineChars="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28EAB">
                  <w:pPr>
                    <w:keepNext w:val="0"/>
                    <w:keepLines w:val="0"/>
                    <w:widowControl/>
                    <w:suppressLineNumbers w:val="0"/>
                    <w:jc w:val="left"/>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SBS改性沥青防水卷材</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82562">
                  <w:pPr>
                    <w:jc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3mm；4mm;3mm带岩片:4mm带岩片</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C424A">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m2</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8D6AB">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材料价</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D8D15">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东方雨虹、科顺、卓宝</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C7FCD">
                  <w:pPr>
                    <w:jc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r>
            <w:tr w14:paraId="1BD4D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6"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435D5">
                  <w:pPr>
                    <w:keepNext w:val="0"/>
                    <w:keepLines w:val="0"/>
                    <w:widowControl/>
                    <w:numPr>
                      <w:ilvl w:val="0"/>
                      <w:numId w:val="2"/>
                    </w:numPr>
                    <w:suppressLineNumbers w:val="0"/>
                    <w:ind w:left="0" w:leftChars="0" w:firstLine="0" w:firstLineChars="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5D7CE">
                  <w:pPr>
                    <w:pStyle w:val="7"/>
                    <w:keepNext w:val="0"/>
                    <w:keepLines w:val="0"/>
                    <w:widowControl/>
                    <w:suppressLineNumbers w:val="0"/>
                    <w:spacing w:before="0" w:beforeAutospacing="0" w:after="0" w:afterAutospacing="0"/>
                    <w:ind w:left="0" w:leftChars="0" w:right="0" w:rightChars="0" w:firstLine="0" w:firstLineChars="0"/>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全球带云台彩色摄像机</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A868D">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4CF0B">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套</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A3DF9">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材料价</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7B535">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康海威视、宇视、大华</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2E43A">
                  <w:pPr>
                    <w:jc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r>
            <w:tr w14:paraId="3E98A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6"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7211C">
                  <w:pPr>
                    <w:keepNext w:val="0"/>
                    <w:keepLines w:val="0"/>
                    <w:widowControl/>
                    <w:numPr>
                      <w:ilvl w:val="0"/>
                      <w:numId w:val="2"/>
                    </w:numPr>
                    <w:suppressLineNumbers w:val="0"/>
                    <w:ind w:left="0" w:leftChars="0" w:firstLine="0" w:firstLineChars="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FE1BA">
                  <w:pPr>
                    <w:pStyle w:val="7"/>
                    <w:keepNext w:val="0"/>
                    <w:keepLines w:val="0"/>
                    <w:widowControl/>
                    <w:suppressLineNumbers w:val="0"/>
                    <w:spacing w:before="0" w:beforeAutospacing="0" w:after="0" w:afterAutospacing="0"/>
                    <w:ind w:left="0" w:leftChars="0" w:right="0" w:rightChars="0" w:firstLine="0" w:firstLineChars="0"/>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循环水泵</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D1264">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流量20l/s,扬程15m,功率2.2kw</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B169F">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E95CA">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材料价</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2D573">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t>南方</w:t>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w:t>
                  </w:r>
                  <w: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t>华鲁</w:t>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w:t>
                  </w:r>
                  <w: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t>凯泉</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6901C">
                  <w:pPr>
                    <w:jc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r>
            <w:tr w14:paraId="75C21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6"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30F01">
                  <w:pPr>
                    <w:keepNext w:val="0"/>
                    <w:keepLines w:val="0"/>
                    <w:widowControl/>
                    <w:numPr>
                      <w:ilvl w:val="0"/>
                      <w:numId w:val="2"/>
                    </w:numPr>
                    <w:suppressLineNumbers w:val="0"/>
                    <w:ind w:left="0" w:leftChars="0" w:firstLine="0" w:firstLineChars="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76D65">
                  <w:pPr>
                    <w:keepNext w:val="0"/>
                    <w:keepLines w:val="0"/>
                    <w:widowControl/>
                    <w:suppressLineNumbers w:val="0"/>
                    <w:jc w:val="left"/>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控制箱（厂家配套）</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79C25">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箱体尺寸600*800*250mm</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6DED6">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66FE2">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材料价</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57128">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t>南方</w:t>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w:t>
                  </w:r>
                  <w: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t>华鲁</w:t>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w:t>
                  </w:r>
                  <w: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t>凯泉</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1C9A0">
                  <w:pPr>
                    <w:jc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r>
            <w:tr w14:paraId="57B1A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6"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EE0AF">
                  <w:pPr>
                    <w:keepNext w:val="0"/>
                    <w:keepLines w:val="0"/>
                    <w:widowControl/>
                    <w:numPr>
                      <w:ilvl w:val="0"/>
                      <w:numId w:val="2"/>
                    </w:numPr>
                    <w:suppressLineNumbers w:val="0"/>
                    <w:ind w:left="0" w:leftChars="0" w:firstLine="0" w:firstLineChars="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BC4C4">
                  <w:pPr>
                    <w:keepNext w:val="0"/>
                    <w:keepLines w:val="0"/>
                    <w:widowControl/>
                    <w:suppressLineNumbers w:val="0"/>
                    <w:jc w:val="left"/>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HDEP双壁波纹管</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4E297">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DE300</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E9EEA">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m</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33041">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材料价</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DCF23">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中财、伟星、联塑</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07CEA">
                  <w:pPr>
                    <w:jc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r>
            <w:tr w14:paraId="5C41E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6"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AFAA1">
                  <w:pPr>
                    <w:keepNext w:val="0"/>
                    <w:keepLines w:val="0"/>
                    <w:widowControl/>
                    <w:numPr>
                      <w:ilvl w:val="0"/>
                      <w:numId w:val="2"/>
                    </w:numPr>
                    <w:suppressLineNumbers w:val="0"/>
                    <w:ind w:left="0" w:leftChars="0" w:firstLine="0" w:firstLineChars="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B3BCA">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HDEP双壁波纹管</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08620">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DE200</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CA996">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m</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E79BC">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材料价</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2ADA8">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中财、伟星、联塑</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C77A3">
                  <w:pPr>
                    <w:jc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r>
            <w:tr w14:paraId="07DF5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7" w:hRule="atLeast"/>
              </w:trPr>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88E3E">
                  <w:pPr>
                    <w:keepNext w:val="0"/>
                    <w:keepLines w:val="0"/>
                    <w:widowControl/>
                    <w:numPr>
                      <w:ilvl w:val="0"/>
                      <w:numId w:val="2"/>
                    </w:numPr>
                    <w:suppressLineNumbers w:val="0"/>
                    <w:ind w:left="0" w:leftChars="0" w:firstLine="0" w:firstLineChars="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1FE10">
                  <w:pPr>
                    <w:keepNext w:val="0"/>
                    <w:keepLines w:val="0"/>
                    <w:widowControl/>
                    <w:suppressLineNumbers w:val="0"/>
                    <w:jc w:val="left"/>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电力电缆WDZ-YJY</w:t>
                  </w:r>
                </w:p>
              </w:tc>
              <w:tc>
                <w:tcPr>
                  <w:tcW w:w="1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5D549">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具体规格型号详见图纸及工程量清单。</w:t>
                  </w:r>
                </w:p>
              </w:tc>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6ED3B">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m</w:t>
                  </w:r>
                </w:p>
              </w:tc>
              <w:tc>
                <w:tcPr>
                  <w:tcW w:w="9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169CD">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材料价</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35AA8">
                  <w:pPr>
                    <w:keepNext w:val="0"/>
                    <w:keepLines w:val="0"/>
                    <w:widowControl/>
                    <w:suppressLineNumbers w:val="0"/>
                    <w:jc w:val="center"/>
                    <w:textAlignment w:val="center"/>
                    <w:rPr>
                      <w:rFonts w:hint="default"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kern w:val="0"/>
                      <w:sz w:val="24"/>
                      <w:szCs w:val="24"/>
                      <w:u w:val="none"/>
                      <w:lang w:val="en-US" w:eastAsia="zh-CN" w:bidi="ar"/>
                    </w:rPr>
                    <w:t>鑫万蒙、扬子、津达</w:t>
                  </w:r>
                </w:p>
              </w:tc>
              <w:tc>
                <w:tcPr>
                  <w:tcW w:w="1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29A08">
                  <w:pPr>
                    <w:jc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p>
              </w:tc>
            </w:tr>
          </w:tbl>
          <w:p w14:paraId="7AA4FECC">
            <w:pPr>
              <w:rPr>
                <w:rFonts w:hint="eastAsia" w:ascii="仿宋" w:hAnsi="仿宋" w:eastAsia="仿宋" w:cs="仿宋"/>
                <w:b w:val="0"/>
                <w:bCs w:val="0"/>
                <w:color w:val="000000" w:themeColor="text1"/>
                <w:kern w:val="2"/>
                <w:sz w:val="24"/>
                <w:szCs w:val="24"/>
                <w:lang w:val="en-US" w:eastAsia="zh-CN" w:bidi="ar-SA"/>
                <w14:textFill>
                  <w14:solidFill>
                    <w14:schemeClr w14:val="tx1"/>
                  </w14:solidFill>
                </w14:textFill>
              </w:rPr>
            </w:pPr>
            <w:r>
              <w:rPr>
                <w:rFonts w:hint="eastAsia" w:ascii="仿宋" w:hAnsi="仿宋" w:eastAsia="仿宋" w:cs="仿宋"/>
                <w:b w:val="0"/>
                <w:bCs w:val="0"/>
                <w:color w:val="000000" w:themeColor="text1"/>
                <w:kern w:val="2"/>
                <w:sz w:val="24"/>
                <w:szCs w:val="24"/>
                <w:lang w:val="en-US" w:eastAsia="zh-CN" w:bidi="ar-SA"/>
                <w14:textFill>
                  <w14:solidFill>
                    <w14:schemeClr w14:val="tx1"/>
                  </w14:solidFill>
                </w14:textFill>
              </w:rPr>
              <w:t>备注：此表中投标人的投标品牌必须填写且只能填写一个品牌，否则按废标处理。投标人在投标品牌选择上可以填写招标方提供的参考品牌，也可以自选并填写其他品牌，但品质档次必须相当于或者高于招标方提供的参考品牌，否则在实施过程中招标方有权确定使用品牌，且造价不予增加。</w:t>
            </w:r>
          </w:p>
          <w:p w14:paraId="40C22F86">
            <w:pPr>
              <w:keepNext w:val="0"/>
              <w:keepLines w:val="0"/>
              <w:widowControl/>
              <w:suppressLineNumbers w:val="0"/>
              <w:jc w:val="both"/>
              <w:textAlignment w:val="cente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pPr>
          </w:p>
          <w:p w14:paraId="5516ACB3">
            <w:pPr>
              <w:keepNext w:val="0"/>
              <w:keepLines w:val="0"/>
              <w:widowControl/>
              <w:suppressLineNumbers w:val="0"/>
              <w:jc w:val="both"/>
              <w:textAlignment w:val="center"/>
              <w:rPr>
                <w:rFonts w:hint="eastAsia" w:ascii="仿宋" w:hAnsi="仿宋" w:eastAsia="仿宋" w:cs="仿宋"/>
                <w:b/>
                <w:bCs/>
                <w:i w:val="0"/>
                <w:iCs w:val="0"/>
                <w:color w:val="000000" w:themeColor="text1"/>
                <w:kern w:val="0"/>
                <w:sz w:val="36"/>
                <w:szCs w:val="36"/>
                <w:u w:val="none"/>
                <w:lang w:val="en-US" w:eastAsia="zh-CN" w:bidi="ar"/>
                <w14:textFill>
                  <w14:solidFill>
                    <w14:schemeClr w14:val="tx1"/>
                  </w14:solidFill>
                </w14:textFill>
              </w:rPr>
            </w:pPr>
          </w:p>
        </w:tc>
      </w:tr>
    </w:tbl>
    <w:p w14:paraId="1BD9A2DD">
      <w:pPr>
        <w:rPr>
          <w:rFonts w:hint="eastAsia" w:ascii="仿宋" w:hAnsi="仿宋" w:eastAsia="仿宋" w:cs="仿宋"/>
          <w:b w:val="0"/>
          <w:bCs w:val="0"/>
          <w:color w:val="000000" w:themeColor="text1"/>
          <w:kern w:val="2"/>
          <w:sz w:val="28"/>
          <w:szCs w:val="28"/>
          <w:lang w:val="en-US" w:eastAsia="zh-CN" w:bidi="ar-SA"/>
          <w14:textFill>
            <w14:solidFill>
              <w14:schemeClr w14:val="tx1"/>
            </w14:solidFill>
          </w14:textFill>
        </w:rPr>
        <w:sectPr>
          <w:pgSz w:w="11906" w:h="16838"/>
          <w:pgMar w:top="1440" w:right="1803" w:bottom="1440" w:left="1803" w:header="851" w:footer="992" w:gutter="0"/>
          <w:cols w:space="0" w:num="1"/>
          <w:rtlGutter w:val="0"/>
          <w:docGrid w:type="lines" w:linePitch="319" w:charSpace="0"/>
        </w:sectPr>
      </w:pPr>
    </w:p>
    <w:p w14:paraId="11F72FEC">
      <w:pPr>
        <w:pStyle w:val="7"/>
        <w:keepNext w:val="0"/>
        <w:keepLines w:val="0"/>
        <w:widowControl/>
        <w:suppressLineNumbers w:val="0"/>
        <w:spacing w:before="0" w:beforeAutospacing="0" w:after="0" w:afterAutospacing="0"/>
        <w:ind w:right="0"/>
        <w:jc w:val="left"/>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附件3</w:t>
      </w:r>
    </w:p>
    <w:p w14:paraId="73A08C65">
      <w:pPr>
        <w:pStyle w:val="7"/>
        <w:keepNext w:val="0"/>
        <w:keepLines w:val="0"/>
        <w:widowControl/>
        <w:suppressLineNumbers w:val="0"/>
        <w:spacing w:before="0" w:beforeAutospacing="0" w:after="0" w:afterAutospacing="0"/>
        <w:ind w:right="0"/>
        <w:jc w:val="center"/>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汇总表</w:t>
      </w:r>
    </w:p>
    <w:p w14:paraId="7678885D">
      <w:pPr>
        <w:pStyle w:val="7"/>
        <w:keepNext w:val="0"/>
        <w:keepLines w:val="0"/>
        <w:widowControl/>
        <w:suppressLineNumbers w:val="0"/>
        <w:spacing w:before="0" w:beforeAutospacing="0" w:after="0" w:afterAutospacing="0"/>
        <w:ind w:right="0"/>
        <w:jc w:val="left"/>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工程名称：鄂尔多斯市文化和旅游局2025年局属单位安全隐患维修工程（图书馆、博物馆、青铜器博物馆、革命历史博物馆）</w:t>
      </w:r>
    </w:p>
    <w:tbl>
      <w:tblPr>
        <w:tblStyle w:val="8"/>
        <w:tblW w:w="8399"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82"/>
        <w:gridCol w:w="4773"/>
        <w:gridCol w:w="2744"/>
      </w:tblGrid>
      <w:tr w14:paraId="11728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vMerge w:val="restart"/>
            <w:tcBorders>
              <w:top w:val="single" w:color="000000" w:sz="8" w:space="0"/>
              <w:left w:val="single" w:color="000000" w:sz="8" w:space="0"/>
              <w:bottom w:val="single" w:color="000000" w:sz="4" w:space="0"/>
              <w:right w:val="single" w:color="000000" w:sz="4" w:space="0"/>
            </w:tcBorders>
            <w:shd w:val="clear" w:color="FFFFFF" w:fill="FFFFFF"/>
            <w:vAlign w:val="center"/>
          </w:tcPr>
          <w:p w14:paraId="6235AC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4773"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14:paraId="5E4C27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单位工程名称</w:t>
            </w:r>
          </w:p>
        </w:tc>
        <w:tc>
          <w:tcPr>
            <w:tcW w:w="2744"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14:paraId="26F57F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金额（元）</w:t>
            </w:r>
          </w:p>
        </w:tc>
      </w:tr>
      <w:tr w14:paraId="2D876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14:paraId="010CB863">
            <w:pPr>
              <w:jc w:val="center"/>
              <w:rPr>
                <w:rFonts w:hint="eastAsia" w:ascii="仿宋" w:hAnsi="仿宋" w:eastAsia="仿宋" w:cs="仿宋"/>
                <w:i w:val="0"/>
                <w:iCs w:val="0"/>
                <w:color w:val="000000"/>
                <w:sz w:val="24"/>
                <w:szCs w:val="24"/>
                <w:u w:val="none"/>
              </w:rPr>
            </w:pPr>
          </w:p>
        </w:tc>
        <w:tc>
          <w:tcPr>
            <w:tcW w:w="4773"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14:paraId="459BE898">
            <w:pPr>
              <w:jc w:val="center"/>
              <w:rPr>
                <w:rFonts w:hint="eastAsia" w:ascii="仿宋" w:hAnsi="仿宋" w:eastAsia="仿宋" w:cs="仿宋"/>
                <w:i w:val="0"/>
                <w:iCs w:val="0"/>
                <w:color w:val="000000"/>
                <w:sz w:val="24"/>
                <w:szCs w:val="24"/>
                <w:u w:val="none"/>
              </w:rPr>
            </w:pPr>
          </w:p>
        </w:tc>
        <w:tc>
          <w:tcPr>
            <w:tcW w:w="2744"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14:paraId="13A3ED6F">
            <w:pPr>
              <w:jc w:val="center"/>
              <w:rPr>
                <w:rFonts w:hint="eastAsia" w:ascii="仿宋" w:hAnsi="仿宋" w:eastAsia="仿宋" w:cs="仿宋"/>
                <w:i w:val="0"/>
                <w:iCs w:val="0"/>
                <w:color w:val="000000"/>
                <w:sz w:val="24"/>
                <w:szCs w:val="24"/>
                <w:u w:val="none"/>
              </w:rPr>
            </w:pPr>
          </w:p>
        </w:tc>
      </w:tr>
      <w:tr w14:paraId="494A0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BE4A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FF9F53">
            <w:pPr>
              <w:spacing w:line="240" w:lineRule="auto"/>
              <w:jc w:val="center"/>
              <w:rPr>
                <w:rFonts w:hint="eastAsia" w:ascii="仿宋" w:hAnsi="仿宋" w:eastAsia="仿宋" w:cs="仿宋"/>
                <w:i w:val="0"/>
                <w:iCs w:val="0"/>
                <w:color w:val="000000"/>
                <w:sz w:val="24"/>
                <w:szCs w:val="24"/>
                <w:u w:val="none"/>
              </w:rPr>
            </w:pPr>
            <w:r>
              <w:rPr>
                <w:rFonts w:hint="eastAsia" w:ascii="仿宋" w:hAnsi="仿宋" w:eastAsia="仿宋" w:cs="仿宋"/>
                <w:b w:val="0"/>
                <w:bCs w:val="0"/>
                <w:i w:val="0"/>
                <w:iCs w:val="0"/>
                <w:color w:val="000000"/>
                <w:kern w:val="0"/>
                <w:sz w:val="21"/>
                <w:szCs w:val="21"/>
                <w:u w:val="none"/>
                <w:lang w:val="en-US" w:eastAsia="zh-CN" w:bidi="ar"/>
              </w:rPr>
              <w:t>图书馆-建筑拆除</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32EBCA1">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p>
        </w:tc>
      </w:tr>
      <w:tr w14:paraId="4230F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D617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DEBD32">
            <w:pPr>
              <w:spacing w:line="240" w:lineRule="auto"/>
              <w:jc w:val="center"/>
              <w:rPr>
                <w:rFonts w:hint="eastAsia" w:ascii="仿宋" w:hAnsi="仿宋" w:eastAsia="仿宋" w:cs="仿宋"/>
                <w:i w:val="0"/>
                <w:iCs w:val="0"/>
                <w:color w:val="000000"/>
                <w:sz w:val="24"/>
                <w:szCs w:val="24"/>
                <w:u w:val="none"/>
              </w:rPr>
            </w:pPr>
            <w:r>
              <w:rPr>
                <w:rFonts w:hint="eastAsia" w:ascii="仿宋" w:hAnsi="仿宋" w:eastAsia="仿宋" w:cs="仿宋"/>
                <w:b w:val="0"/>
                <w:bCs w:val="0"/>
                <w:i w:val="0"/>
                <w:iCs w:val="0"/>
                <w:color w:val="000000"/>
                <w:kern w:val="0"/>
                <w:sz w:val="21"/>
                <w:szCs w:val="21"/>
                <w:u w:val="none"/>
                <w:lang w:val="en-US" w:eastAsia="zh-CN" w:bidi="ar"/>
              </w:rPr>
              <w:t>图书馆-建筑新做</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767BF9">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p>
        </w:tc>
      </w:tr>
      <w:tr w14:paraId="5FB7F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6E668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36ABD0">
            <w:pPr>
              <w:spacing w:line="240" w:lineRule="auto"/>
              <w:jc w:val="center"/>
              <w:rPr>
                <w:rFonts w:hint="eastAsia" w:ascii="仿宋" w:hAnsi="仿宋" w:eastAsia="仿宋" w:cs="仿宋"/>
                <w:i w:val="0"/>
                <w:iCs w:val="0"/>
                <w:color w:val="000000"/>
                <w:sz w:val="24"/>
                <w:szCs w:val="24"/>
                <w:u w:val="none"/>
              </w:rPr>
            </w:pPr>
            <w:r>
              <w:rPr>
                <w:rFonts w:hint="eastAsia" w:ascii="仿宋" w:hAnsi="仿宋" w:eastAsia="仿宋" w:cs="仿宋"/>
                <w:b w:val="0"/>
                <w:bCs w:val="0"/>
                <w:i w:val="0"/>
                <w:iCs w:val="0"/>
                <w:color w:val="000000"/>
                <w:kern w:val="0"/>
                <w:sz w:val="21"/>
                <w:szCs w:val="21"/>
                <w:u w:val="none"/>
                <w:lang w:val="en-US" w:eastAsia="zh-CN" w:bidi="ar"/>
              </w:rPr>
              <w:t>图书馆-外网工程</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A8D577">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p>
        </w:tc>
      </w:tr>
      <w:tr w14:paraId="6B57B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E86B6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A33DA2">
            <w:pPr>
              <w:spacing w:line="240" w:lineRule="auto"/>
              <w:jc w:val="center"/>
              <w:rPr>
                <w:rFonts w:hint="eastAsia" w:ascii="仿宋" w:hAnsi="仿宋" w:eastAsia="仿宋" w:cs="仿宋"/>
                <w:i w:val="0"/>
                <w:iCs w:val="0"/>
                <w:color w:val="000000"/>
                <w:sz w:val="24"/>
                <w:szCs w:val="24"/>
                <w:u w:val="none"/>
              </w:rPr>
            </w:pPr>
            <w:r>
              <w:rPr>
                <w:rFonts w:hint="eastAsia" w:ascii="仿宋" w:hAnsi="仿宋" w:eastAsia="仿宋" w:cs="仿宋"/>
                <w:b w:val="0"/>
                <w:bCs w:val="0"/>
                <w:i w:val="0"/>
                <w:iCs w:val="0"/>
                <w:color w:val="000000"/>
                <w:kern w:val="0"/>
                <w:sz w:val="21"/>
                <w:szCs w:val="21"/>
                <w:u w:val="none"/>
                <w:lang w:val="en-US" w:eastAsia="zh-CN" w:bidi="ar"/>
              </w:rPr>
              <w:t>图书馆-外网土方工程</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C55D65">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p>
        </w:tc>
      </w:tr>
      <w:tr w14:paraId="59EF1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C45B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531408">
            <w:pPr>
              <w:spacing w:line="240" w:lineRule="auto"/>
              <w:jc w:val="center"/>
              <w:rPr>
                <w:rFonts w:hint="eastAsia" w:ascii="仿宋" w:hAnsi="仿宋" w:eastAsia="仿宋" w:cs="仿宋"/>
                <w:i w:val="0"/>
                <w:iCs w:val="0"/>
                <w:color w:val="000000"/>
                <w:sz w:val="24"/>
                <w:szCs w:val="24"/>
                <w:u w:val="none"/>
              </w:rPr>
            </w:pPr>
            <w:r>
              <w:rPr>
                <w:rFonts w:hint="eastAsia" w:ascii="仿宋" w:hAnsi="仿宋" w:eastAsia="仿宋" w:cs="仿宋"/>
                <w:b w:val="0"/>
                <w:bCs w:val="0"/>
                <w:i w:val="0"/>
                <w:iCs w:val="0"/>
                <w:color w:val="000000"/>
                <w:kern w:val="0"/>
                <w:sz w:val="21"/>
                <w:szCs w:val="21"/>
                <w:u w:val="none"/>
                <w:lang w:val="en-US" w:eastAsia="zh-CN" w:bidi="ar"/>
              </w:rPr>
              <w:t>博物馆-电气工程</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48C82D">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p>
        </w:tc>
      </w:tr>
      <w:tr w14:paraId="4D882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E6BB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C3D7AF">
            <w:pPr>
              <w:spacing w:line="240" w:lineRule="auto"/>
              <w:jc w:val="center"/>
              <w:rPr>
                <w:rFonts w:hint="eastAsia" w:ascii="仿宋" w:hAnsi="仿宋" w:eastAsia="仿宋" w:cs="仿宋"/>
                <w:i w:val="0"/>
                <w:iCs w:val="0"/>
                <w:color w:val="000000"/>
                <w:sz w:val="24"/>
                <w:szCs w:val="24"/>
                <w:u w:val="none"/>
              </w:rPr>
            </w:pPr>
            <w:r>
              <w:rPr>
                <w:rFonts w:hint="eastAsia" w:ascii="仿宋" w:hAnsi="仿宋" w:eastAsia="仿宋" w:cs="仿宋"/>
                <w:b w:val="0"/>
                <w:bCs w:val="0"/>
                <w:i w:val="0"/>
                <w:iCs w:val="0"/>
                <w:color w:val="000000"/>
                <w:kern w:val="0"/>
                <w:sz w:val="21"/>
                <w:szCs w:val="21"/>
                <w:u w:val="none"/>
                <w:lang w:val="en-US" w:eastAsia="zh-CN" w:bidi="ar"/>
              </w:rPr>
              <w:t>青铜器博物馆-建筑拆除</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798EE59">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p>
        </w:tc>
      </w:tr>
      <w:tr w14:paraId="53C39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7C56B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68C900">
            <w:pPr>
              <w:spacing w:line="240" w:lineRule="auto"/>
              <w:jc w:val="center"/>
              <w:rPr>
                <w:rFonts w:hint="eastAsia" w:ascii="仿宋" w:hAnsi="仿宋" w:eastAsia="仿宋" w:cs="仿宋"/>
                <w:i w:val="0"/>
                <w:iCs w:val="0"/>
                <w:color w:val="000000"/>
                <w:sz w:val="24"/>
                <w:szCs w:val="24"/>
                <w:u w:val="none"/>
              </w:rPr>
            </w:pPr>
            <w:r>
              <w:rPr>
                <w:rFonts w:hint="eastAsia" w:ascii="仿宋" w:hAnsi="仿宋" w:eastAsia="仿宋" w:cs="仿宋"/>
                <w:b w:val="0"/>
                <w:bCs w:val="0"/>
                <w:i w:val="0"/>
                <w:iCs w:val="0"/>
                <w:color w:val="000000"/>
                <w:kern w:val="0"/>
                <w:sz w:val="21"/>
                <w:szCs w:val="21"/>
                <w:u w:val="none"/>
                <w:lang w:val="en-US" w:eastAsia="zh-CN" w:bidi="ar"/>
              </w:rPr>
              <w:t>青铜器博物馆-建筑新做</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451AE5">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p>
        </w:tc>
      </w:tr>
      <w:tr w14:paraId="25886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A367A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81E8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b w:val="0"/>
                <w:bCs w:val="0"/>
                <w:i w:val="0"/>
                <w:iCs w:val="0"/>
                <w:color w:val="000000"/>
                <w:kern w:val="0"/>
                <w:sz w:val="21"/>
                <w:szCs w:val="21"/>
                <w:u w:val="none"/>
                <w:lang w:val="en-US" w:eastAsia="zh-CN" w:bidi="ar"/>
              </w:rPr>
              <w:t>革命历史博物馆-建筑拆除</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7C36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410A8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23E9EA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F34FB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革命历史博物馆-建筑新做</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5BAA34">
            <w:pPr>
              <w:keepNext w:val="0"/>
              <w:keepLines w:val="0"/>
              <w:widowControl/>
              <w:suppressLineNumbers w:val="0"/>
              <w:jc w:val="center"/>
              <w:textAlignment w:val="center"/>
              <w:rPr>
                <w:rFonts w:hint="eastAsia" w:ascii="仿宋" w:hAnsi="仿宋" w:eastAsia="仿宋" w:cs="仿宋"/>
                <w:color w:val="auto"/>
                <w:kern w:val="2"/>
                <w:sz w:val="24"/>
                <w:szCs w:val="24"/>
                <w:highlight w:val="none"/>
                <w:lang w:val="en-US" w:eastAsia="zh-CN" w:bidi="ar-SA"/>
              </w:rPr>
            </w:pPr>
          </w:p>
        </w:tc>
      </w:tr>
      <w:tr w14:paraId="40BF8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8150D1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BA8BC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革命历史博物馆-电气工程</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212BAC">
            <w:pPr>
              <w:keepNext w:val="0"/>
              <w:keepLines w:val="0"/>
              <w:widowControl/>
              <w:suppressLineNumbers w:val="0"/>
              <w:jc w:val="center"/>
              <w:textAlignment w:val="center"/>
              <w:rPr>
                <w:rFonts w:hint="eastAsia" w:ascii="仿宋" w:hAnsi="仿宋" w:eastAsia="仿宋" w:cs="仿宋"/>
                <w:color w:val="auto"/>
                <w:kern w:val="2"/>
                <w:sz w:val="24"/>
                <w:szCs w:val="24"/>
                <w:highlight w:val="none"/>
                <w:lang w:val="en-US" w:eastAsia="zh-CN" w:bidi="ar-SA"/>
              </w:rPr>
            </w:pPr>
          </w:p>
        </w:tc>
      </w:tr>
      <w:tr w14:paraId="702D3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882"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C6FBBB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w:t>
            </w:r>
          </w:p>
        </w:tc>
        <w:tc>
          <w:tcPr>
            <w:tcW w:w="47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0DF74C">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b w:val="0"/>
                <w:bCs w:val="0"/>
                <w:i w:val="0"/>
                <w:iCs w:val="0"/>
                <w:color w:val="000000"/>
                <w:kern w:val="0"/>
                <w:sz w:val="21"/>
                <w:szCs w:val="21"/>
                <w:u w:val="none"/>
                <w:lang w:val="en-US" w:eastAsia="zh-CN" w:bidi="ar"/>
              </w:rPr>
              <w:t>暂列金（含税）</w:t>
            </w:r>
          </w:p>
        </w:tc>
        <w:tc>
          <w:tcPr>
            <w:tcW w:w="274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0E5429">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b w:val="0"/>
                <w:bCs w:val="0"/>
                <w:i w:val="0"/>
                <w:iCs w:val="0"/>
                <w:color w:val="000000"/>
                <w:kern w:val="0"/>
                <w:sz w:val="21"/>
                <w:szCs w:val="21"/>
                <w:u w:val="none"/>
                <w:lang w:val="en-US" w:eastAsia="zh-CN" w:bidi="ar"/>
              </w:rPr>
              <w:t>463534.93</w:t>
            </w:r>
          </w:p>
        </w:tc>
      </w:tr>
      <w:tr w14:paraId="32118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655" w:type="dxa"/>
            <w:gridSpan w:val="2"/>
            <w:tcBorders>
              <w:top w:val="single" w:color="000000" w:sz="4" w:space="0"/>
              <w:left w:val="single" w:color="000000" w:sz="8" w:space="0"/>
              <w:bottom w:val="single" w:color="000000" w:sz="8" w:space="0"/>
              <w:right w:val="single" w:color="000000" w:sz="4" w:space="0"/>
            </w:tcBorders>
            <w:shd w:val="clear" w:color="FFFFFF" w:fill="FFFFFF"/>
            <w:vAlign w:val="center"/>
          </w:tcPr>
          <w:p w14:paraId="295118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2744"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1789232">
            <w:pPr>
              <w:keepNext w:val="0"/>
              <w:keepLines w:val="0"/>
              <w:widowControl/>
              <w:suppressLineNumbers w:val="0"/>
              <w:jc w:val="right"/>
              <w:textAlignment w:val="center"/>
              <w:rPr>
                <w:rFonts w:hint="eastAsia" w:ascii="仿宋" w:hAnsi="仿宋" w:eastAsia="仿宋" w:cs="仿宋"/>
                <w:i w:val="0"/>
                <w:iCs w:val="0"/>
                <w:color w:val="000000"/>
                <w:sz w:val="24"/>
                <w:szCs w:val="24"/>
                <w:u w:val="none"/>
              </w:rPr>
            </w:pPr>
          </w:p>
        </w:tc>
      </w:tr>
    </w:tbl>
    <w:p w14:paraId="13A57F76">
      <w:pPr>
        <w:rPr>
          <w:rFonts w:hint="eastAsia" w:ascii="仿宋" w:hAnsi="仿宋" w:eastAsia="仿宋" w:cs="仿宋"/>
          <w:b w:val="0"/>
          <w:bCs w:val="0"/>
          <w:color w:val="000000" w:themeColor="text1"/>
          <w:kern w:val="2"/>
          <w:sz w:val="28"/>
          <w:szCs w:val="28"/>
          <w:lang w:val="en-US" w:eastAsia="zh-CN" w:bidi="ar-SA"/>
          <w14:textFill>
            <w14:solidFill>
              <w14:schemeClr w14:val="tx1"/>
            </w14:solidFill>
          </w14:textFill>
        </w:rPr>
      </w:pPr>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DD17B6"/>
    <w:multiLevelType w:val="singleLevel"/>
    <w:tmpl w:val="98DD17B6"/>
    <w:lvl w:ilvl="0" w:tentative="0">
      <w:start w:val="1"/>
      <w:numFmt w:val="decimal"/>
      <w:suff w:val="nothing"/>
      <w:lvlText w:val="%1、"/>
      <w:lvlJc w:val="left"/>
      <w:rPr>
        <w:rFonts w:hint="default" w:ascii="仿宋" w:hAnsi="仿宋" w:eastAsia="仿宋" w:cs="仿宋"/>
        <w:b w:val="0"/>
        <w:bCs w:val="0"/>
      </w:rPr>
    </w:lvl>
  </w:abstractNum>
  <w:abstractNum w:abstractNumId="1">
    <w:nsid w:val="E050D702"/>
    <w:multiLevelType w:val="singleLevel"/>
    <w:tmpl w:val="E050D702"/>
    <w:lvl w:ilvl="0" w:tentative="0">
      <w:start w:val="1"/>
      <w:numFmt w:val="decimal"/>
      <w:suff w:val="nothing"/>
      <w:lvlText w:val="%1"/>
      <w:lvlJc w:val="left"/>
      <w:pPr>
        <w:tabs>
          <w:tab w:val="left" w:pos="0"/>
        </w:tabs>
      </w:pPr>
      <w:rPr>
        <w:rFonts w:hint="default" w:ascii="仿宋" w:hAnsi="仿宋" w:eastAsia="仿宋" w:cs="仿宋_GB2312"/>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1M2I3NTFiOGJlNmFmYTRiOTY5MGFhZjJkNjE4OGIifQ=="/>
  </w:docVars>
  <w:rsids>
    <w:rsidRoot w:val="4A505918"/>
    <w:rsid w:val="04E73DC1"/>
    <w:rsid w:val="05636C00"/>
    <w:rsid w:val="0910060C"/>
    <w:rsid w:val="0AA52DEC"/>
    <w:rsid w:val="0B806F19"/>
    <w:rsid w:val="0E032342"/>
    <w:rsid w:val="11823686"/>
    <w:rsid w:val="11CC3F93"/>
    <w:rsid w:val="1479770B"/>
    <w:rsid w:val="1CCB51C3"/>
    <w:rsid w:val="1D04257E"/>
    <w:rsid w:val="261631EE"/>
    <w:rsid w:val="26EC2F93"/>
    <w:rsid w:val="274D53AA"/>
    <w:rsid w:val="283F190B"/>
    <w:rsid w:val="28520641"/>
    <w:rsid w:val="2F5314EA"/>
    <w:rsid w:val="2F815E05"/>
    <w:rsid w:val="2FEF4C1A"/>
    <w:rsid w:val="341D4E0B"/>
    <w:rsid w:val="346D06AE"/>
    <w:rsid w:val="34B22E01"/>
    <w:rsid w:val="376412BA"/>
    <w:rsid w:val="3CAF1523"/>
    <w:rsid w:val="3F046F30"/>
    <w:rsid w:val="3F6034C8"/>
    <w:rsid w:val="41B56C08"/>
    <w:rsid w:val="42402E61"/>
    <w:rsid w:val="42616032"/>
    <w:rsid w:val="42B810D7"/>
    <w:rsid w:val="43F042CD"/>
    <w:rsid w:val="4419456C"/>
    <w:rsid w:val="46C712A9"/>
    <w:rsid w:val="496857E0"/>
    <w:rsid w:val="4A505918"/>
    <w:rsid w:val="4A6917EC"/>
    <w:rsid w:val="4B881B82"/>
    <w:rsid w:val="4F1418C5"/>
    <w:rsid w:val="4F8C772F"/>
    <w:rsid w:val="50D66E54"/>
    <w:rsid w:val="53277E51"/>
    <w:rsid w:val="536110D4"/>
    <w:rsid w:val="59AA2C98"/>
    <w:rsid w:val="5CA75558"/>
    <w:rsid w:val="5E325E43"/>
    <w:rsid w:val="61421664"/>
    <w:rsid w:val="63835399"/>
    <w:rsid w:val="66430FEE"/>
    <w:rsid w:val="688064D5"/>
    <w:rsid w:val="701A7A0C"/>
    <w:rsid w:val="70EC72CE"/>
    <w:rsid w:val="78456708"/>
    <w:rsid w:val="7B074BF2"/>
    <w:rsid w:val="7E242258"/>
    <w:rsid w:val="7E3B7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Body Text"/>
    <w:basedOn w:val="1"/>
    <w:qFormat/>
    <w:uiPriority w:val="0"/>
    <w:pPr>
      <w:spacing w:after="120"/>
    </w:pPr>
    <w:rPr>
      <w:rFonts w:ascii="Times New Roman" w:hAnsi="Times New Roman" w:eastAsia="仿宋_GB2312" w:cs="Times New Roman"/>
      <w:sz w:val="32"/>
    </w:rPr>
  </w:style>
  <w:style w:type="paragraph" w:styleId="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pPr>
      <w:spacing w:before="120" w:after="120"/>
      <w:jc w:val="left"/>
    </w:pPr>
    <w:rPr>
      <w:b/>
      <w:caps/>
      <w:sz w:val="20"/>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Table Text"/>
    <w:basedOn w:val="1"/>
    <w:semiHidden/>
    <w:qFormat/>
    <w:uiPriority w:val="0"/>
    <w:rPr>
      <w:rFonts w:ascii="宋体" w:hAnsi="宋体" w:eastAsia="宋体" w:cs="宋体"/>
      <w:sz w:val="25"/>
      <w:szCs w:val="25"/>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2258</Words>
  <Characters>2452</Characters>
  <Lines>0</Lines>
  <Paragraphs>0</Paragraphs>
  <TotalTime>4</TotalTime>
  <ScaleCrop>false</ScaleCrop>
  <LinksUpToDate>false</LinksUpToDate>
  <CharactersWithSpaces>2452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2024-07-05T10:29:00Z</dcterms:created>
  <dc:creator>白云霞</dc:creator>
  <cp:lastModifiedBy>立flag什么的还是算了</cp:lastModifiedBy>
  <dcterms:modified xsi:type="dcterms:W3CDTF">2025-07-30T10:50:30Z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200874E05344495F837834A952E89E88_13</vt:lpwstr>
  </property>
  <property fmtid="{D5CDD505-2E9C-101B-9397-08002B2CF9AE}" pid="4" name="KSOTemplateDocerSaveRecord">
    <vt:lpwstr>eyJoZGlkIjoiNjI0Y2YxMDVlMGYwM2I3MjdhMzJlZjExZDI4MmI1NGMiLCJ1c2VySWQiOiIzODQwNjU3ODgifQ==</vt:lpwstr>
  </property>
</Properties>
</file>