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7CCDB">
      <w:pPr>
        <w:keepNext w:val="0"/>
        <w:keepLines w:val="0"/>
        <w:widowControl w:val="0"/>
        <w:suppressLineNumbers w:val="0"/>
        <w:tabs>
          <w:tab w:val="left" w:pos="540"/>
        </w:tabs>
        <w:spacing w:before="0" w:beforeAutospacing="0" w:after="0" w:afterAutospacing="0" w:line="480" w:lineRule="exact"/>
        <w:ind w:left="0" w:right="0"/>
        <w:jc w:val="center"/>
        <w:rPr>
          <w:rFonts w:eastAsia="黑体"/>
          <w:sz w:val="28"/>
          <w:szCs w:val="24"/>
          <w:lang w:val="en-US"/>
        </w:rPr>
      </w:pPr>
      <w:r>
        <w:rPr>
          <w:rFonts w:hint="eastAsia" w:ascii="Times New Roman" w:hAnsi="Times New Roman" w:eastAsia="黑体" w:cs="黑体"/>
          <w:kern w:val="2"/>
          <w:sz w:val="28"/>
          <w:szCs w:val="24"/>
          <w:lang w:val="en-US" w:eastAsia="zh-CN" w:bidi="ar"/>
        </w:rPr>
        <w:t>合同范本</w:t>
      </w:r>
    </w:p>
    <w:p w14:paraId="15D17B3A">
      <w:pPr>
        <w:keepNext w:val="0"/>
        <w:keepLines w:val="0"/>
        <w:widowControl w:val="0"/>
        <w:suppressLineNumbers w:val="0"/>
        <w:spacing w:before="0" w:beforeAutospacing="0" w:after="0" w:afterAutospacing="0"/>
        <w:ind w:left="0" w:right="0"/>
        <w:jc w:val="left"/>
        <w:rPr>
          <w:rFonts w:hint="default" w:ascii="宋体" w:hAnsi="宋体" w:eastAsia="宋体" w:cs="宋体"/>
          <w:sz w:val="28"/>
          <w:szCs w:val="28"/>
          <w:lang w:val="en-US"/>
        </w:rPr>
      </w:pPr>
      <w:r>
        <w:rPr>
          <w:rFonts w:hint="eastAsia" w:ascii="宋体" w:hAnsi="宋体" w:eastAsia="宋体" w:cs="宋体"/>
          <w:kern w:val="2"/>
          <w:sz w:val="28"/>
          <w:szCs w:val="28"/>
          <w:lang w:val="en-US" w:eastAsia="zh-CN" w:bidi="ar"/>
        </w:rPr>
        <w:t>合同编号：</w:t>
      </w:r>
      <w:r>
        <w:rPr>
          <w:rFonts w:hint="eastAsia" w:ascii="宋体" w:hAnsi="宋体" w:eastAsia="宋体" w:cs="宋体"/>
          <w:b/>
          <w:bCs/>
          <w:kern w:val="2"/>
          <w:sz w:val="28"/>
          <w:szCs w:val="28"/>
          <w:u w:val="single"/>
          <w:lang w:val="en-US" w:eastAsia="zh-CN" w:bidi="ar"/>
        </w:rPr>
        <w:t xml:space="preserve">         </w:t>
      </w:r>
    </w:p>
    <w:p w14:paraId="42DE71AD">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44"/>
          <w:szCs w:val="44"/>
          <w:lang w:val="en-US"/>
        </w:rPr>
      </w:pPr>
    </w:p>
    <w:p w14:paraId="6795B13A">
      <w:pPr>
        <w:keepNext w:val="0"/>
        <w:keepLines w:val="0"/>
        <w:widowControl w:val="0"/>
        <w:suppressLineNumbers w:val="0"/>
        <w:spacing w:before="0" w:beforeAutospacing="0" w:after="0" w:afterAutospacing="0"/>
        <w:ind w:left="0" w:right="0"/>
        <w:jc w:val="center"/>
        <w:rPr>
          <w:rFonts w:hint="eastAsia" w:ascii="黑体" w:hAnsi="宋体" w:eastAsia="黑体" w:cs="黑体"/>
          <w:sz w:val="72"/>
          <w:szCs w:val="72"/>
          <w:lang w:val="en-US"/>
        </w:rPr>
      </w:pPr>
      <w:r>
        <w:rPr>
          <w:rFonts w:hint="eastAsia" w:ascii="黑体" w:hAnsi="宋体" w:eastAsia="黑体" w:cs="黑体"/>
          <w:kern w:val="2"/>
          <w:sz w:val="72"/>
          <w:szCs w:val="72"/>
          <w:lang w:val="en-US" w:eastAsia="zh-CN" w:bidi="ar"/>
        </w:rPr>
        <w:t>内蒙古自治区人民医院</w:t>
      </w:r>
    </w:p>
    <w:p w14:paraId="031084A6">
      <w:pPr>
        <w:keepNext w:val="0"/>
        <w:keepLines w:val="0"/>
        <w:widowControl w:val="0"/>
        <w:suppressLineNumbers w:val="0"/>
        <w:spacing w:before="0" w:beforeAutospacing="0" w:after="0" w:afterAutospacing="0"/>
        <w:ind w:left="0" w:right="0"/>
        <w:jc w:val="center"/>
        <w:rPr>
          <w:rFonts w:hint="eastAsia" w:ascii="黑体" w:hAnsi="宋体" w:eastAsia="黑体" w:cs="黑体"/>
          <w:sz w:val="72"/>
          <w:szCs w:val="72"/>
          <w:lang w:val="en-US"/>
        </w:rPr>
      </w:pPr>
      <w:r>
        <w:rPr>
          <w:rFonts w:hint="eastAsia" w:ascii="黑体" w:hAnsi="宋体" w:eastAsia="黑体" w:cs="黑体"/>
          <w:kern w:val="2"/>
          <w:sz w:val="72"/>
          <w:szCs w:val="72"/>
          <w:lang w:val="en-US" w:eastAsia="zh-CN" w:bidi="ar"/>
        </w:rPr>
        <w:t>专用设备购销合同</w:t>
      </w:r>
    </w:p>
    <w:p w14:paraId="1DFFDC3A">
      <w:pPr>
        <w:keepNext w:val="0"/>
        <w:keepLines w:val="0"/>
        <w:widowControl w:val="0"/>
        <w:suppressLineNumbers w:val="0"/>
        <w:spacing w:before="0" w:beforeAutospacing="0" w:after="0" w:afterAutospacing="0"/>
        <w:ind w:left="0" w:right="0"/>
        <w:jc w:val="left"/>
        <w:rPr>
          <w:rFonts w:hint="eastAsia" w:ascii="宋体" w:hAnsi="宋体" w:eastAsia="宋体" w:cs="宋体"/>
          <w:bCs/>
          <w:sz w:val="28"/>
          <w:szCs w:val="28"/>
          <w:lang w:val="en-US"/>
        </w:rPr>
      </w:pPr>
    </w:p>
    <w:p w14:paraId="5696D2E1">
      <w:pPr>
        <w:keepNext w:val="0"/>
        <w:keepLines w:val="0"/>
        <w:widowControl w:val="0"/>
        <w:suppressLineNumbers w:val="0"/>
        <w:spacing w:before="0" w:beforeAutospacing="0" w:after="0" w:afterAutospacing="0"/>
        <w:ind w:left="0" w:right="0"/>
        <w:jc w:val="left"/>
        <w:rPr>
          <w:rFonts w:hint="eastAsia" w:ascii="宋体" w:hAnsi="宋体" w:eastAsia="宋体" w:cs="宋体"/>
          <w:bCs/>
          <w:sz w:val="28"/>
          <w:szCs w:val="28"/>
          <w:lang w:val="en-US"/>
        </w:rPr>
      </w:pPr>
    </w:p>
    <w:p w14:paraId="5A3C4D61">
      <w:pPr>
        <w:keepNext w:val="0"/>
        <w:keepLines w:val="0"/>
        <w:widowControl w:val="0"/>
        <w:suppressLineNumbers w:val="0"/>
        <w:spacing w:before="0" w:beforeAutospacing="0" w:after="0" w:afterAutospacing="0"/>
        <w:ind w:left="0" w:right="0"/>
        <w:jc w:val="left"/>
        <w:rPr>
          <w:rFonts w:hint="eastAsia" w:ascii="宋体" w:hAnsi="宋体" w:eastAsia="宋体" w:cs="宋体"/>
          <w:bCs/>
          <w:sz w:val="28"/>
          <w:szCs w:val="28"/>
          <w:lang w:val="en-US"/>
        </w:rPr>
      </w:pPr>
    </w:p>
    <w:p w14:paraId="0DFEECA4">
      <w:pPr>
        <w:keepNext w:val="0"/>
        <w:keepLines w:val="0"/>
        <w:widowControl w:val="0"/>
        <w:suppressLineNumbers w:val="0"/>
        <w:spacing w:before="0" w:beforeAutospacing="0" w:after="0" w:afterAutospacing="0"/>
        <w:ind w:left="0" w:right="0"/>
        <w:jc w:val="left"/>
        <w:rPr>
          <w:rFonts w:hint="eastAsia" w:ascii="宋体" w:hAnsi="宋体" w:eastAsia="宋体" w:cs="宋体"/>
          <w:bCs/>
          <w:sz w:val="28"/>
          <w:szCs w:val="28"/>
          <w:lang w:val="en-US"/>
        </w:rPr>
      </w:pPr>
    </w:p>
    <w:p w14:paraId="3533B1FD">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bCs/>
          <w:sz w:val="28"/>
          <w:szCs w:val="28"/>
          <w:u w:val="single"/>
          <w:lang w:val="en-US"/>
        </w:rPr>
      </w:pPr>
      <w:r>
        <w:rPr>
          <w:rFonts w:hint="eastAsia" w:ascii="宋体" w:hAnsi="宋体" w:eastAsia="宋体" w:cs="宋体"/>
          <w:bCs/>
          <w:kern w:val="2"/>
          <w:sz w:val="28"/>
          <w:szCs w:val="28"/>
          <w:lang w:val="en-US" w:eastAsia="zh-CN" w:bidi="ar"/>
        </w:rPr>
        <w:t>项目名称：</w:t>
      </w:r>
      <w:r>
        <w:rPr>
          <w:rFonts w:hint="eastAsia" w:ascii="宋体" w:hAnsi="宋体" w:eastAsia="宋体" w:cs="宋体"/>
          <w:bCs/>
          <w:kern w:val="2"/>
          <w:sz w:val="28"/>
          <w:szCs w:val="28"/>
          <w:u w:val="single"/>
          <w:lang w:val="en-US" w:eastAsia="zh-CN" w:bidi="ar"/>
        </w:rPr>
        <w:t xml:space="preserve">                 </w:t>
      </w:r>
    </w:p>
    <w:p w14:paraId="061DE22E">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项目编号：</w:t>
      </w:r>
      <w:r>
        <w:rPr>
          <w:rFonts w:hint="eastAsia" w:ascii="宋体" w:hAnsi="宋体" w:eastAsia="宋体" w:cs="宋体"/>
          <w:bCs/>
          <w:kern w:val="2"/>
          <w:sz w:val="28"/>
          <w:szCs w:val="28"/>
          <w:u w:val="single"/>
          <w:lang w:val="en-US" w:eastAsia="zh-CN" w:bidi="ar"/>
        </w:rPr>
        <w:t xml:space="preserve">                 </w:t>
      </w:r>
    </w:p>
    <w:p w14:paraId="2C6A3910">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bCs/>
          <w:sz w:val="28"/>
          <w:szCs w:val="28"/>
          <w:u w:val="single"/>
          <w:lang w:val="en-US"/>
        </w:rPr>
      </w:pPr>
      <w:r>
        <w:rPr>
          <w:rFonts w:hint="eastAsia" w:ascii="宋体" w:hAnsi="宋体" w:eastAsia="宋体" w:cs="宋体"/>
          <w:kern w:val="2"/>
          <w:sz w:val="28"/>
          <w:szCs w:val="28"/>
          <w:lang w:val="en-US" w:eastAsia="zh-CN" w:bidi="ar"/>
        </w:rPr>
        <w:t>政府采购项目批准（备案）文号</w:t>
      </w:r>
      <w:r>
        <w:rPr>
          <w:rFonts w:hint="eastAsia" w:ascii="宋体" w:hAnsi="宋体" w:eastAsia="宋体" w:cs="宋体"/>
          <w:bCs/>
          <w:kern w:val="2"/>
          <w:sz w:val="28"/>
          <w:szCs w:val="28"/>
          <w:lang w:val="en-US" w:eastAsia="zh-CN" w:bidi="ar"/>
        </w:rPr>
        <w:t>：</w:t>
      </w:r>
      <w:r>
        <w:rPr>
          <w:rFonts w:hint="eastAsia" w:ascii="宋体" w:hAnsi="宋体" w:eastAsia="宋体" w:cs="宋体"/>
          <w:bCs/>
          <w:kern w:val="2"/>
          <w:sz w:val="28"/>
          <w:szCs w:val="28"/>
          <w:u w:val="single"/>
          <w:lang w:val="en-US" w:eastAsia="zh-CN" w:bidi="ar"/>
        </w:rPr>
        <w:t xml:space="preserve">             号</w:t>
      </w:r>
    </w:p>
    <w:p w14:paraId="1D951752">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甲方（买方）：内蒙古自治区人民医院</w:t>
      </w:r>
    </w:p>
    <w:p w14:paraId="0A9111E2">
      <w:pPr>
        <w:keepNext w:val="0"/>
        <w:keepLines w:val="0"/>
        <w:widowControl w:val="0"/>
        <w:suppressLineNumbers w:val="0"/>
        <w:spacing w:before="0" w:beforeAutospacing="0" w:after="0" w:afterAutospacing="0"/>
        <w:ind w:left="0" w:right="0" w:firstLine="700" w:firstLineChars="250"/>
        <w:jc w:val="left"/>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乙方（卖方）：</w:t>
      </w:r>
      <w:r>
        <w:rPr>
          <w:rFonts w:hint="eastAsia" w:ascii="宋体" w:hAnsi="宋体" w:eastAsia="宋体" w:cs="宋体"/>
          <w:bCs/>
          <w:kern w:val="2"/>
          <w:sz w:val="28"/>
          <w:szCs w:val="28"/>
          <w:u w:val="single"/>
          <w:lang w:val="en-US" w:eastAsia="zh-CN" w:bidi="ar"/>
        </w:rPr>
        <w:t xml:space="preserve">                 </w:t>
      </w:r>
    </w:p>
    <w:p w14:paraId="6B08D5EE">
      <w:pPr>
        <w:keepNext w:val="0"/>
        <w:keepLines w:val="0"/>
        <w:widowControl w:val="0"/>
        <w:suppressLineNumbers w:val="0"/>
        <w:spacing w:before="0" w:beforeAutospacing="0" w:after="0" w:afterAutospacing="0"/>
        <w:ind w:left="0" w:right="0"/>
        <w:jc w:val="left"/>
        <w:rPr>
          <w:rFonts w:hint="eastAsia" w:ascii="宋体" w:hAnsi="宋体" w:eastAsia="宋体" w:cs="宋体"/>
          <w:bCs/>
          <w:sz w:val="28"/>
          <w:szCs w:val="28"/>
          <w:lang w:val="en-US"/>
        </w:rPr>
      </w:pPr>
    </w:p>
    <w:p w14:paraId="5F633017">
      <w:pPr>
        <w:keepNext w:val="0"/>
        <w:keepLines w:val="0"/>
        <w:widowControl w:val="0"/>
        <w:suppressLineNumbers w:val="0"/>
        <w:spacing w:before="0" w:beforeAutospacing="0" w:after="0" w:afterAutospacing="0"/>
        <w:ind w:left="0" w:right="0"/>
        <w:jc w:val="left"/>
        <w:rPr>
          <w:rFonts w:hint="eastAsia" w:ascii="宋体" w:hAnsi="宋体" w:eastAsia="宋体" w:cs="宋体"/>
          <w:bCs/>
          <w:sz w:val="28"/>
          <w:szCs w:val="28"/>
          <w:lang w:val="en-US"/>
        </w:rPr>
      </w:pPr>
    </w:p>
    <w:p w14:paraId="2061B45A">
      <w:pPr>
        <w:keepNext w:val="0"/>
        <w:keepLines w:val="0"/>
        <w:widowControl w:val="0"/>
        <w:suppressLineNumbers w:val="0"/>
        <w:spacing w:before="0" w:beforeAutospacing="0" w:after="0" w:afterAutospacing="0"/>
        <w:ind w:left="0" w:right="0"/>
        <w:jc w:val="left"/>
        <w:rPr>
          <w:rFonts w:hint="eastAsia" w:ascii="宋体" w:hAnsi="宋体" w:eastAsia="宋体" w:cs="宋体"/>
          <w:bCs/>
          <w:sz w:val="28"/>
          <w:szCs w:val="28"/>
          <w:lang w:val="en-US"/>
        </w:rPr>
      </w:pPr>
    </w:p>
    <w:p w14:paraId="03C46A1F">
      <w:pPr>
        <w:keepNext w:val="0"/>
        <w:keepLines w:val="0"/>
        <w:widowControl/>
        <w:suppressLineNumbers w:val="0"/>
        <w:spacing w:before="0" w:beforeAutospacing="0" w:after="0" w:afterAutospacing="0"/>
        <w:ind w:left="0" w:right="0"/>
        <w:jc w:val="center"/>
        <w:rPr>
          <w:rFonts w:hint="eastAsia" w:ascii="宋体" w:hAnsi="宋体" w:eastAsia="宋体" w:cs="宋体"/>
          <w:bCs/>
          <w:sz w:val="28"/>
          <w:szCs w:val="28"/>
          <w:lang w:val="en-US"/>
        </w:rPr>
      </w:pPr>
    </w:p>
    <w:p w14:paraId="51B78227">
      <w:pPr>
        <w:keepNext w:val="0"/>
        <w:keepLines w:val="0"/>
        <w:widowControl/>
        <w:suppressLineNumbers w:val="0"/>
        <w:spacing w:before="0" w:beforeAutospacing="0" w:after="0" w:afterAutospacing="0"/>
        <w:ind w:left="0" w:right="0"/>
        <w:jc w:val="center"/>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合同签订日期：    年   月   日</w:t>
      </w:r>
    </w:p>
    <w:p w14:paraId="6EE07A8C">
      <w:pPr>
        <w:keepNext w:val="0"/>
        <w:keepLines w:val="0"/>
        <w:widowControl/>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合同签订地：内蒙古自治区人民医院</w:t>
      </w:r>
    </w:p>
    <w:p w14:paraId="162C7323">
      <w:pPr>
        <w:rPr>
          <w:rFonts w:hint="eastAsia" w:ascii="宋体" w:hAnsi="宋体" w:eastAsia="宋体" w:cs="Times New Roman"/>
          <w:kern w:val="2"/>
          <w:sz w:val="28"/>
          <w:szCs w:val="28"/>
          <w:lang w:val="en-US" w:eastAsia="zh-CN" w:bidi="ar"/>
        </w:rPr>
        <w:sectPr>
          <w:pgSz w:w="11906" w:h="16838"/>
          <w:pgMar w:top="1247" w:right="1418" w:bottom="1247" w:left="1418" w:header="851" w:footer="567" w:gutter="0"/>
          <w:paperSrc/>
          <w:pgNumType w:start="1"/>
          <w:cols w:space="425" w:num="1"/>
          <w:docGrid w:type="lines" w:linePitch="312" w:charSpace="0"/>
        </w:sectPr>
      </w:pPr>
    </w:p>
    <w:p w14:paraId="3327389A">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甲方（买方）：内蒙古自治区人民医院</w:t>
      </w:r>
    </w:p>
    <w:p w14:paraId="4C9FE3A6">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乙方（卖方）：</w:t>
      </w:r>
      <w:r>
        <w:rPr>
          <w:rFonts w:hint="eastAsia" w:ascii="宋体" w:hAnsi="宋体" w:eastAsia="宋体" w:cs="宋体"/>
          <w:bCs/>
          <w:kern w:val="2"/>
          <w:sz w:val="28"/>
          <w:szCs w:val="28"/>
          <w:u w:val="single"/>
          <w:lang w:val="en-US" w:eastAsia="zh-CN" w:bidi="ar"/>
        </w:rPr>
        <w:t xml:space="preserve">                 </w:t>
      </w:r>
      <w:r>
        <w:rPr>
          <w:rFonts w:hint="eastAsia" w:ascii="宋体" w:hAnsi="宋体" w:eastAsia="宋体" w:cs="宋体"/>
          <w:b/>
          <w:bCs/>
          <w:kern w:val="2"/>
          <w:sz w:val="24"/>
          <w:szCs w:val="24"/>
          <w:lang w:val="en-US" w:eastAsia="zh-CN" w:bidi="ar"/>
        </w:rPr>
        <w:t xml:space="preserve"> </w:t>
      </w:r>
    </w:p>
    <w:p w14:paraId="7AFAF352">
      <w:pPr>
        <w:keepNext w:val="0"/>
        <w:keepLines w:val="0"/>
        <w:widowControl/>
        <w:suppressLineNumbers w:val="0"/>
        <w:spacing w:before="0" w:beforeAutospacing="0" w:after="0" w:afterAutospacing="0" w:line="460" w:lineRule="exact"/>
        <w:ind w:left="0" w:right="0"/>
        <w:jc w:val="left"/>
        <w:rPr>
          <w:b/>
          <w:bCs w:val="0"/>
          <w:sz w:val="24"/>
          <w:szCs w:val="24"/>
          <w:lang w:val="en-US"/>
        </w:rPr>
      </w:pPr>
      <w:r>
        <w:rPr>
          <w:rFonts w:hint="eastAsia" w:ascii="宋体" w:hAnsi="宋体" w:eastAsia="宋体" w:cs="宋体"/>
          <w:b/>
          <w:bCs/>
          <w:kern w:val="2"/>
          <w:sz w:val="24"/>
          <w:szCs w:val="24"/>
          <w:lang w:val="en-US" w:eastAsia="zh-CN" w:bidi="ar"/>
        </w:rPr>
        <w:t>交验货地点：内蒙古自治区人民医院</w:t>
      </w:r>
      <w:r>
        <w:rPr>
          <w:rFonts w:hint="default" w:ascii="Times New Roman" w:hAnsi="Times New Roman" w:eastAsia="宋体" w:cs="Times New Roman"/>
          <w:b/>
          <w:bCs w:val="0"/>
          <w:kern w:val="2"/>
          <w:sz w:val="24"/>
          <w:szCs w:val="24"/>
          <w:lang w:val="en-US" w:eastAsia="zh-CN" w:bidi="ar"/>
        </w:rPr>
        <w:t xml:space="preserve">    </w:t>
      </w:r>
    </w:p>
    <w:p w14:paraId="6A4F417C">
      <w:pPr>
        <w:pStyle w:val="3"/>
        <w:widowControl/>
        <w:spacing w:before="120" w:beforeLines="50" w:beforeAutospacing="0" w:line="360" w:lineRule="auto"/>
        <w:ind w:left="0" w:firstLine="480" w:firstLineChars="200"/>
        <w:rPr>
          <w:lang w:val="en-US"/>
        </w:rPr>
      </w:pPr>
      <w:r>
        <w:rPr>
          <w:rFonts w:ascii="Calibri" w:hAnsi="Calibri"/>
          <w:sz w:val="24"/>
          <w:szCs w:val="24"/>
          <w:lang w:eastAsia="zh-CN"/>
        </w:rPr>
        <w:t>本项目根据《中华人民共和国民法典》、《中华人民共和国政府采购法》等相关法律法规的规定，遵循平等、自愿、公平和诚信原则，委托</w:t>
      </w:r>
      <w:r>
        <w:rPr>
          <w:rFonts w:hAnsi="宋体"/>
          <w:bCs/>
          <w:sz w:val="28"/>
          <w:szCs w:val="28"/>
          <w:u w:val="single"/>
          <w:lang w:val="en-US"/>
        </w:rPr>
        <w:t xml:space="preserve">                 </w:t>
      </w:r>
      <w:r>
        <w:rPr>
          <w:rFonts w:ascii="Calibri" w:hAnsi="Calibri"/>
          <w:sz w:val="24"/>
          <w:szCs w:val="24"/>
          <w:lang w:eastAsia="zh-CN"/>
        </w:rPr>
        <w:t>以分散采购</w:t>
      </w:r>
      <w:r>
        <w:rPr>
          <w:rFonts w:hint="default" w:ascii="Calibri" w:hAnsi="Calibri" w:cs="Times New Roman"/>
          <w:sz w:val="24"/>
          <w:szCs w:val="24"/>
          <w:lang w:val="en-US"/>
        </w:rPr>
        <w:t>-</w:t>
      </w:r>
      <w:r>
        <w:rPr>
          <w:rFonts w:ascii="Calibri" w:hAnsi="Calibri"/>
          <w:sz w:val="24"/>
          <w:szCs w:val="24"/>
          <w:lang w:eastAsia="zh-CN"/>
        </w:rPr>
        <w:t>公开招标采购方式进行了采购。经甲、乙双方协商一致，签订本合同。</w:t>
      </w:r>
    </w:p>
    <w:p w14:paraId="3E930202">
      <w:pPr>
        <w:keepNext w:val="0"/>
        <w:keepLines w:val="0"/>
        <w:widowControl w:val="0"/>
        <w:suppressLineNumbers w:val="0"/>
        <w:spacing w:before="0" w:beforeAutospacing="0" w:after="0" w:afterAutospacing="0" w:line="500" w:lineRule="exact"/>
        <w:ind w:left="0" w:right="0" w:firstLine="482" w:firstLineChars="200"/>
        <w:jc w:val="both"/>
        <w:rPr>
          <w:b/>
          <w:bCs w:val="0"/>
          <w:sz w:val="24"/>
          <w:szCs w:val="24"/>
          <w:lang w:val="en-US"/>
        </w:rPr>
      </w:pPr>
      <w:r>
        <w:rPr>
          <w:rFonts w:hint="eastAsia" w:ascii="Times New Roman" w:hAnsi="Times New Roman" w:eastAsia="宋体" w:cs="宋体"/>
          <w:b/>
          <w:bCs w:val="0"/>
          <w:kern w:val="2"/>
          <w:sz w:val="24"/>
          <w:szCs w:val="24"/>
          <w:lang w:val="en-US" w:eastAsia="zh-CN" w:bidi="ar"/>
        </w:rPr>
        <w:t>第一条</w:t>
      </w:r>
      <w:r>
        <w:rPr>
          <w:rFonts w:hint="eastAsia" w:ascii="宋体" w:hAnsi="宋体" w:eastAsia="宋体" w:cs="宋体"/>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产品名称、数量、金额</w:t>
      </w:r>
    </w:p>
    <w:tbl>
      <w:tblPr>
        <w:tblStyle w:val="6"/>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292"/>
        <w:gridCol w:w="1639"/>
        <w:gridCol w:w="1145"/>
        <w:gridCol w:w="1845"/>
        <w:gridCol w:w="1183"/>
        <w:gridCol w:w="992"/>
        <w:gridCol w:w="1006"/>
      </w:tblGrid>
      <w:tr w14:paraId="5119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1292" w:type="dxa"/>
            <w:tcBorders>
              <w:top w:val="single" w:color="auto" w:sz="4" w:space="0"/>
              <w:left w:val="single" w:color="auto" w:sz="4" w:space="0"/>
              <w:bottom w:val="single" w:color="auto" w:sz="4" w:space="0"/>
              <w:right w:val="single" w:color="auto" w:sz="4" w:space="0"/>
            </w:tcBorders>
            <w:shd w:val="clear"/>
            <w:vAlign w:val="center"/>
          </w:tcPr>
          <w:p w14:paraId="5B03DD01">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产品名称</w:t>
            </w:r>
          </w:p>
        </w:tc>
        <w:tc>
          <w:tcPr>
            <w:tcW w:w="1639" w:type="dxa"/>
            <w:tcBorders>
              <w:top w:val="single" w:color="auto" w:sz="4" w:space="0"/>
              <w:left w:val="single" w:color="auto" w:sz="4" w:space="0"/>
              <w:bottom w:val="single" w:color="auto" w:sz="4" w:space="0"/>
              <w:right w:val="single" w:color="auto" w:sz="4" w:space="0"/>
            </w:tcBorders>
            <w:shd w:val="clear"/>
            <w:vAlign w:val="center"/>
          </w:tcPr>
          <w:p w14:paraId="54067D7D">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规格</w:t>
            </w:r>
          </w:p>
          <w:p w14:paraId="2C9F27EF">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型号</w:t>
            </w:r>
          </w:p>
        </w:tc>
        <w:tc>
          <w:tcPr>
            <w:tcW w:w="1145" w:type="dxa"/>
            <w:tcBorders>
              <w:top w:val="single" w:color="auto" w:sz="4" w:space="0"/>
              <w:left w:val="single" w:color="auto" w:sz="4" w:space="0"/>
              <w:bottom w:val="single" w:color="auto" w:sz="4" w:space="0"/>
              <w:right w:val="single" w:color="auto" w:sz="4" w:space="0"/>
            </w:tcBorders>
            <w:shd w:val="clear"/>
            <w:vAlign w:val="center"/>
          </w:tcPr>
          <w:p w14:paraId="52AE154D">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设备配置</w:t>
            </w:r>
          </w:p>
        </w:tc>
        <w:tc>
          <w:tcPr>
            <w:tcW w:w="1845" w:type="dxa"/>
            <w:tcBorders>
              <w:top w:val="single" w:color="auto" w:sz="4" w:space="0"/>
              <w:left w:val="single" w:color="auto" w:sz="4" w:space="0"/>
              <w:bottom w:val="single" w:color="auto" w:sz="4" w:space="0"/>
              <w:right w:val="single" w:color="auto" w:sz="4" w:space="0"/>
            </w:tcBorders>
            <w:shd w:val="clear"/>
            <w:vAlign w:val="center"/>
          </w:tcPr>
          <w:p w14:paraId="31A49D4D">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生产厂家</w:t>
            </w:r>
          </w:p>
        </w:tc>
        <w:tc>
          <w:tcPr>
            <w:tcW w:w="1183" w:type="dxa"/>
            <w:tcBorders>
              <w:top w:val="single" w:color="auto" w:sz="4" w:space="0"/>
              <w:left w:val="single" w:color="auto" w:sz="4" w:space="0"/>
              <w:bottom w:val="single" w:color="auto" w:sz="4" w:space="0"/>
              <w:right w:val="single" w:color="auto" w:sz="4" w:space="0"/>
            </w:tcBorders>
            <w:shd w:val="clear"/>
            <w:vAlign w:val="center"/>
          </w:tcPr>
          <w:p w14:paraId="1E18561D">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数量</w:t>
            </w:r>
          </w:p>
        </w:tc>
        <w:tc>
          <w:tcPr>
            <w:tcW w:w="992" w:type="dxa"/>
            <w:tcBorders>
              <w:top w:val="single" w:color="auto" w:sz="4" w:space="0"/>
              <w:left w:val="single" w:color="auto" w:sz="4" w:space="0"/>
              <w:bottom w:val="single" w:color="auto" w:sz="4" w:space="0"/>
              <w:right w:val="single" w:color="auto" w:sz="4" w:space="0"/>
            </w:tcBorders>
            <w:shd w:val="clear"/>
            <w:vAlign w:val="center"/>
          </w:tcPr>
          <w:p w14:paraId="40E8FEF7">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成交</w:t>
            </w:r>
          </w:p>
          <w:p w14:paraId="2D967F19">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单价</w:t>
            </w:r>
          </w:p>
          <w:p w14:paraId="0E78840D">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(万元)</w:t>
            </w:r>
          </w:p>
        </w:tc>
        <w:tc>
          <w:tcPr>
            <w:tcW w:w="1006" w:type="dxa"/>
            <w:tcBorders>
              <w:top w:val="single" w:color="auto" w:sz="4" w:space="0"/>
              <w:left w:val="single" w:color="auto" w:sz="4" w:space="0"/>
              <w:bottom w:val="single" w:color="auto" w:sz="4" w:space="0"/>
              <w:right w:val="single" w:color="auto" w:sz="4" w:space="0"/>
            </w:tcBorders>
            <w:shd w:val="clear"/>
            <w:vAlign w:val="center"/>
          </w:tcPr>
          <w:p w14:paraId="4B27944D">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成交</w:t>
            </w:r>
          </w:p>
          <w:p w14:paraId="6C68F68E">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总价</w:t>
            </w:r>
          </w:p>
          <w:p w14:paraId="60683EFB">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(万元)</w:t>
            </w:r>
          </w:p>
        </w:tc>
      </w:tr>
      <w:tr w14:paraId="309C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8" w:hRule="atLeast"/>
          <w:jc w:val="center"/>
        </w:trPr>
        <w:tc>
          <w:tcPr>
            <w:tcW w:w="1292" w:type="dxa"/>
            <w:tcBorders>
              <w:top w:val="single" w:color="auto" w:sz="4" w:space="0"/>
              <w:left w:val="single" w:color="auto" w:sz="4" w:space="0"/>
              <w:bottom w:val="single" w:color="auto" w:sz="4" w:space="0"/>
              <w:right w:val="single" w:color="auto" w:sz="4" w:space="0"/>
            </w:tcBorders>
            <w:shd w:val="clear"/>
            <w:vAlign w:val="center"/>
          </w:tcPr>
          <w:p w14:paraId="4B7E8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639" w:type="dxa"/>
            <w:tcBorders>
              <w:top w:val="single" w:color="auto" w:sz="4" w:space="0"/>
              <w:left w:val="single" w:color="auto" w:sz="4" w:space="0"/>
              <w:bottom w:val="single" w:color="auto" w:sz="4" w:space="0"/>
              <w:right w:val="single" w:color="auto" w:sz="4" w:space="0"/>
            </w:tcBorders>
            <w:shd w:val="clear"/>
            <w:vAlign w:val="center"/>
          </w:tcPr>
          <w:p w14:paraId="1CCB0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145" w:type="dxa"/>
            <w:tcBorders>
              <w:top w:val="single" w:color="auto" w:sz="4" w:space="0"/>
              <w:left w:val="single" w:color="auto" w:sz="4" w:space="0"/>
              <w:bottom w:val="single" w:color="auto" w:sz="4" w:space="0"/>
              <w:right w:val="single" w:color="auto" w:sz="4" w:space="0"/>
            </w:tcBorders>
            <w:shd w:val="clear"/>
            <w:vAlign w:val="center"/>
          </w:tcPr>
          <w:p w14:paraId="53D6E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详见配置清单</w:t>
            </w:r>
          </w:p>
        </w:tc>
        <w:tc>
          <w:tcPr>
            <w:tcW w:w="1845" w:type="dxa"/>
            <w:tcBorders>
              <w:top w:val="single" w:color="auto" w:sz="4" w:space="0"/>
              <w:left w:val="single" w:color="auto" w:sz="4" w:space="0"/>
              <w:bottom w:val="single" w:color="auto" w:sz="4" w:space="0"/>
              <w:right w:val="single" w:color="auto" w:sz="4" w:space="0"/>
            </w:tcBorders>
            <w:shd w:val="clear"/>
            <w:vAlign w:val="center"/>
          </w:tcPr>
          <w:p w14:paraId="61D194DA">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sz w:val="24"/>
                <w:szCs w:val="24"/>
                <w:bdr w:val="none" w:color="auto" w:sz="0" w:space="0"/>
                <w:lang w:val="en-US"/>
              </w:rPr>
            </w:pPr>
          </w:p>
        </w:tc>
        <w:tc>
          <w:tcPr>
            <w:tcW w:w="1183" w:type="dxa"/>
            <w:tcBorders>
              <w:top w:val="single" w:color="auto" w:sz="4" w:space="0"/>
              <w:left w:val="single" w:color="auto" w:sz="4" w:space="0"/>
              <w:bottom w:val="single" w:color="auto" w:sz="4" w:space="0"/>
              <w:right w:val="single" w:color="auto" w:sz="4" w:space="0"/>
            </w:tcBorders>
            <w:shd w:val="clear"/>
            <w:vAlign w:val="center"/>
          </w:tcPr>
          <w:p w14:paraId="323A3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14:paraId="2F32B6A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c>
          <w:tcPr>
            <w:tcW w:w="1006" w:type="dxa"/>
            <w:tcBorders>
              <w:top w:val="single" w:color="auto" w:sz="4" w:space="0"/>
              <w:left w:val="single" w:color="auto" w:sz="4" w:space="0"/>
              <w:bottom w:val="single" w:color="auto" w:sz="4" w:space="0"/>
              <w:right w:val="single" w:color="auto" w:sz="4" w:space="0"/>
            </w:tcBorders>
            <w:shd w:val="clear"/>
            <w:vAlign w:val="center"/>
          </w:tcPr>
          <w:p w14:paraId="58B1A068">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r>
      <w:tr w14:paraId="342F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8" w:hRule="atLeast"/>
          <w:jc w:val="center"/>
        </w:trPr>
        <w:tc>
          <w:tcPr>
            <w:tcW w:w="1292" w:type="dxa"/>
            <w:tcBorders>
              <w:top w:val="single" w:color="auto" w:sz="4" w:space="0"/>
              <w:left w:val="single" w:color="auto" w:sz="4" w:space="0"/>
              <w:bottom w:val="single" w:color="auto" w:sz="4" w:space="0"/>
              <w:right w:val="single" w:color="auto" w:sz="4" w:space="0"/>
            </w:tcBorders>
            <w:shd w:val="clear"/>
            <w:vAlign w:val="center"/>
          </w:tcPr>
          <w:p w14:paraId="09326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639" w:type="dxa"/>
            <w:tcBorders>
              <w:top w:val="single" w:color="auto" w:sz="4" w:space="0"/>
              <w:left w:val="single" w:color="auto" w:sz="4" w:space="0"/>
              <w:bottom w:val="single" w:color="auto" w:sz="4" w:space="0"/>
              <w:right w:val="single" w:color="auto" w:sz="4" w:space="0"/>
            </w:tcBorders>
            <w:shd w:val="clear"/>
            <w:vAlign w:val="center"/>
          </w:tcPr>
          <w:p w14:paraId="19244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145" w:type="dxa"/>
            <w:tcBorders>
              <w:top w:val="single" w:color="auto" w:sz="4" w:space="0"/>
              <w:left w:val="single" w:color="auto" w:sz="4" w:space="0"/>
              <w:bottom w:val="single" w:color="auto" w:sz="4" w:space="0"/>
              <w:right w:val="single" w:color="auto" w:sz="4" w:space="0"/>
            </w:tcBorders>
            <w:shd w:val="clear"/>
            <w:vAlign w:val="center"/>
          </w:tcPr>
          <w:p w14:paraId="5CA2D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详见配置清单</w:t>
            </w:r>
          </w:p>
        </w:tc>
        <w:tc>
          <w:tcPr>
            <w:tcW w:w="1845" w:type="dxa"/>
            <w:tcBorders>
              <w:top w:val="single" w:color="auto" w:sz="4" w:space="0"/>
              <w:left w:val="single" w:color="auto" w:sz="4" w:space="0"/>
              <w:bottom w:val="single" w:color="auto" w:sz="4" w:space="0"/>
              <w:right w:val="single" w:color="auto" w:sz="4" w:space="0"/>
            </w:tcBorders>
            <w:shd w:val="clear"/>
            <w:vAlign w:val="center"/>
          </w:tcPr>
          <w:p w14:paraId="0D35A3AA">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sz w:val="24"/>
                <w:szCs w:val="24"/>
                <w:bdr w:val="none" w:color="auto" w:sz="0" w:space="0"/>
                <w:lang w:val="en-US"/>
              </w:rPr>
            </w:pPr>
          </w:p>
        </w:tc>
        <w:tc>
          <w:tcPr>
            <w:tcW w:w="1183" w:type="dxa"/>
            <w:tcBorders>
              <w:top w:val="single" w:color="auto" w:sz="4" w:space="0"/>
              <w:left w:val="single" w:color="auto" w:sz="4" w:space="0"/>
              <w:bottom w:val="single" w:color="auto" w:sz="4" w:space="0"/>
              <w:right w:val="single" w:color="auto" w:sz="4" w:space="0"/>
            </w:tcBorders>
            <w:shd w:val="clear"/>
            <w:vAlign w:val="center"/>
          </w:tcPr>
          <w:p w14:paraId="6100C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14:paraId="1560009E">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c>
          <w:tcPr>
            <w:tcW w:w="1006" w:type="dxa"/>
            <w:tcBorders>
              <w:top w:val="single" w:color="auto" w:sz="4" w:space="0"/>
              <w:left w:val="single" w:color="auto" w:sz="4" w:space="0"/>
              <w:bottom w:val="single" w:color="auto" w:sz="4" w:space="0"/>
              <w:right w:val="single" w:color="auto" w:sz="4" w:space="0"/>
            </w:tcBorders>
            <w:shd w:val="clear"/>
            <w:vAlign w:val="center"/>
          </w:tcPr>
          <w:p w14:paraId="79E2C846">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r>
      <w:tr w14:paraId="4404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8" w:hRule="atLeast"/>
          <w:jc w:val="center"/>
        </w:trPr>
        <w:tc>
          <w:tcPr>
            <w:tcW w:w="1292" w:type="dxa"/>
            <w:tcBorders>
              <w:top w:val="single" w:color="auto" w:sz="4" w:space="0"/>
              <w:left w:val="single" w:color="auto" w:sz="4" w:space="0"/>
              <w:bottom w:val="single" w:color="auto" w:sz="4" w:space="0"/>
              <w:right w:val="single" w:color="auto" w:sz="4" w:space="0"/>
            </w:tcBorders>
            <w:shd w:val="clear"/>
            <w:vAlign w:val="center"/>
          </w:tcPr>
          <w:p w14:paraId="480ED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639" w:type="dxa"/>
            <w:tcBorders>
              <w:top w:val="single" w:color="auto" w:sz="4" w:space="0"/>
              <w:left w:val="single" w:color="auto" w:sz="4" w:space="0"/>
              <w:bottom w:val="single" w:color="auto" w:sz="4" w:space="0"/>
              <w:right w:val="single" w:color="auto" w:sz="4" w:space="0"/>
            </w:tcBorders>
            <w:shd w:val="clear"/>
            <w:vAlign w:val="center"/>
          </w:tcPr>
          <w:p w14:paraId="1F3D2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145" w:type="dxa"/>
            <w:tcBorders>
              <w:top w:val="single" w:color="auto" w:sz="4" w:space="0"/>
              <w:left w:val="single" w:color="auto" w:sz="4" w:space="0"/>
              <w:bottom w:val="single" w:color="auto" w:sz="4" w:space="0"/>
              <w:right w:val="single" w:color="auto" w:sz="4" w:space="0"/>
            </w:tcBorders>
            <w:shd w:val="clear"/>
            <w:vAlign w:val="center"/>
          </w:tcPr>
          <w:p w14:paraId="55084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详见配置清单</w:t>
            </w:r>
          </w:p>
        </w:tc>
        <w:tc>
          <w:tcPr>
            <w:tcW w:w="1845" w:type="dxa"/>
            <w:tcBorders>
              <w:top w:val="single" w:color="auto" w:sz="4" w:space="0"/>
              <w:left w:val="single" w:color="auto" w:sz="4" w:space="0"/>
              <w:bottom w:val="single" w:color="auto" w:sz="4" w:space="0"/>
              <w:right w:val="single" w:color="auto" w:sz="4" w:space="0"/>
            </w:tcBorders>
            <w:shd w:val="clear"/>
            <w:vAlign w:val="center"/>
          </w:tcPr>
          <w:p w14:paraId="5305AA74">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sz w:val="24"/>
                <w:szCs w:val="24"/>
                <w:bdr w:val="none" w:color="auto" w:sz="0" w:space="0"/>
                <w:lang w:val="en-US"/>
              </w:rPr>
            </w:pPr>
          </w:p>
        </w:tc>
        <w:tc>
          <w:tcPr>
            <w:tcW w:w="1183" w:type="dxa"/>
            <w:tcBorders>
              <w:top w:val="single" w:color="auto" w:sz="4" w:space="0"/>
              <w:left w:val="single" w:color="auto" w:sz="4" w:space="0"/>
              <w:bottom w:val="single" w:color="auto" w:sz="4" w:space="0"/>
              <w:right w:val="single" w:color="auto" w:sz="4" w:space="0"/>
            </w:tcBorders>
            <w:shd w:val="clear"/>
            <w:vAlign w:val="center"/>
          </w:tcPr>
          <w:p w14:paraId="29750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14:paraId="6DA37621">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c>
          <w:tcPr>
            <w:tcW w:w="1006" w:type="dxa"/>
            <w:tcBorders>
              <w:top w:val="single" w:color="auto" w:sz="4" w:space="0"/>
              <w:left w:val="single" w:color="auto" w:sz="4" w:space="0"/>
              <w:bottom w:val="single" w:color="auto" w:sz="4" w:space="0"/>
              <w:right w:val="single" w:color="auto" w:sz="4" w:space="0"/>
            </w:tcBorders>
            <w:shd w:val="clear"/>
            <w:vAlign w:val="center"/>
          </w:tcPr>
          <w:p w14:paraId="538B2D4C">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r>
      <w:tr w14:paraId="37E4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8" w:hRule="atLeast"/>
          <w:jc w:val="center"/>
        </w:trPr>
        <w:tc>
          <w:tcPr>
            <w:tcW w:w="1292" w:type="dxa"/>
            <w:tcBorders>
              <w:top w:val="single" w:color="auto" w:sz="4" w:space="0"/>
              <w:left w:val="single" w:color="auto" w:sz="4" w:space="0"/>
              <w:bottom w:val="single" w:color="auto" w:sz="4" w:space="0"/>
              <w:right w:val="single" w:color="auto" w:sz="4" w:space="0"/>
            </w:tcBorders>
            <w:shd w:val="clear"/>
            <w:vAlign w:val="center"/>
          </w:tcPr>
          <w:p w14:paraId="4B7B1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639" w:type="dxa"/>
            <w:tcBorders>
              <w:top w:val="single" w:color="auto" w:sz="4" w:space="0"/>
              <w:left w:val="single" w:color="auto" w:sz="4" w:space="0"/>
              <w:bottom w:val="single" w:color="auto" w:sz="4" w:space="0"/>
              <w:right w:val="single" w:color="auto" w:sz="4" w:space="0"/>
            </w:tcBorders>
            <w:shd w:val="clear"/>
            <w:vAlign w:val="center"/>
          </w:tcPr>
          <w:p w14:paraId="7118D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145" w:type="dxa"/>
            <w:tcBorders>
              <w:top w:val="single" w:color="auto" w:sz="4" w:space="0"/>
              <w:left w:val="single" w:color="auto" w:sz="4" w:space="0"/>
              <w:bottom w:val="single" w:color="auto" w:sz="4" w:space="0"/>
              <w:right w:val="single" w:color="auto" w:sz="4" w:space="0"/>
            </w:tcBorders>
            <w:shd w:val="clear"/>
            <w:vAlign w:val="center"/>
          </w:tcPr>
          <w:p w14:paraId="11446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详见配置清单</w:t>
            </w:r>
          </w:p>
        </w:tc>
        <w:tc>
          <w:tcPr>
            <w:tcW w:w="1845" w:type="dxa"/>
            <w:tcBorders>
              <w:top w:val="single" w:color="auto" w:sz="4" w:space="0"/>
              <w:left w:val="single" w:color="auto" w:sz="4" w:space="0"/>
              <w:bottom w:val="single" w:color="auto" w:sz="4" w:space="0"/>
              <w:right w:val="single" w:color="auto" w:sz="4" w:space="0"/>
            </w:tcBorders>
            <w:shd w:val="clear"/>
            <w:vAlign w:val="center"/>
          </w:tcPr>
          <w:p w14:paraId="1732F719">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sz w:val="24"/>
                <w:szCs w:val="24"/>
                <w:bdr w:val="none" w:color="auto" w:sz="0" w:space="0"/>
                <w:lang w:val="en-US"/>
              </w:rPr>
            </w:pPr>
          </w:p>
        </w:tc>
        <w:tc>
          <w:tcPr>
            <w:tcW w:w="1183" w:type="dxa"/>
            <w:tcBorders>
              <w:top w:val="single" w:color="auto" w:sz="4" w:space="0"/>
              <w:left w:val="single" w:color="auto" w:sz="4" w:space="0"/>
              <w:bottom w:val="single" w:color="auto" w:sz="4" w:space="0"/>
              <w:right w:val="single" w:color="auto" w:sz="4" w:space="0"/>
            </w:tcBorders>
            <w:shd w:val="clear"/>
            <w:vAlign w:val="center"/>
          </w:tcPr>
          <w:p w14:paraId="6074C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14:paraId="192F653B">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c>
          <w:tcPr>
            <w:tcW w:w="1006" w:type="dxa"/>
            <w:tcBorders>
              <w:top w:val="single" w:color="auto" w:sz="4" w:space="0"/>
              <w:left w:val="single" w:color="auto" w:sz="4" w:space="0"/>
              <w:bottom w:val="single" w:color="auto" w:sz="4" w:space="0"/>
              <w:right w:val="single" w:color="auto" w:sz="4" w:space="0"/>
            </w:tcBorders>
            <w:shd w:val="clear"/>
            <w:vAlign w:val="center"/>
          </w:tcPr>
          <w:p w14:paraId="74A89233">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r>
      <w:tr w14:paraId="1195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8" w:hRule="atLeast"/>
          <w:jc w:val="center"/>
        </w:trPr>
        <w:tc>
          <w:tcPr>
            <w:tcW w:w="1292" w:type="dxa"/>
            <w:tcBorders>
              <w:top w:val="single" w:color="auto" w:sz="4" w:space="0"/>
              <w:left w:val="single" w:color="auto" w:sz="4" w:space="0"/>
              <w:bottom w:val="single" w:color="auto" w:sz="4" w:space="0"/>
              <w:right w:val="single" w:color="auto" w:sz="4" w:space="0"/>
            </w:tcBorders>
            <w:shd w:val="clear"/>
            <w:vAlign w:val="center"/>
          </w:tcPr>
          <w:p w14:paraId="44A30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639" w:type="dxa"/>
            <w:tcBorders>
              <w:top w:val="single" w:color="auto" w:sz="4" w:space="0"/>
              <w:left w:val="single" w:color="auto" w:sz="4" w:space="0"/>
              <w:bottom w:val="single" w:color="auto" w:sz="4" w:space="0"/>
              <w:right w:val="single" w:color="auto" w:sz="4" w:space="0"/>
            </w:tcBorders>
            <w:shd w:val="clear"/>
            <w:vAlign w:val="center"/>
          </w:tcPr>
          <w:p w14:paraId="403E7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1145" w:type="dxa"/>
            <w:tcBorders>
              <w:top w:val="single" w:color="auto" w:sz="4" w:space="0"/>
              <w:left w:val="single" w:color="auto" w:sz="4" w:space="0"/>
              <w:bottom w:val="single" w:color="auto" w:sz="4" w:space="0"/>
              <w:right w:val="single" w:color="auto" w:sz="4" w:space="0"/>
            </w:tcBorders>
            <w:shd w:val="clear"/>
            <w:vAlign w:val="center"/>
          </w:tcPr>
          <w:p w14:paraId="47B98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详见配置清单</w:t>
            </w:r>
          </w:p>
        </w:tc>
        <w:tc>
          <w:tcPr>
            <w:tcW w:w="1845" w:type="dxa"/>
            <w:tcBorders>
              <w:top w:val="single" w:color="auto" w:sz="4" w:space="0"/>
              <w:left w:val="single" w:color="auto" w:sz="4" w:space="0"/>
              <w:bottom w:val="single" w:color="auto" w:sz="4" w:space="0"/>
              <w:right w:val="single" w:color="auto" w:sz="4" w:space="0"/>
            </w:tcBorders>
            <w:shd w:val="clear"/>
            <w:vAlign w:val="center"/>
          </w:tcPr>
          <w:p w14:paraId="30F846CF">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sz w:val="24"/>
                <w:szCs w:val="24"/>
                <w:bdr w:val="none" w:color="auto" w:sz="0" w:space="0"/>
                <w:lang w:val="en-US"/>
              </w:rPr>
            </w:pPr>
          </w:p>
        </w:tc>
        <w:tc>
          <w:tcPr>
            <w:tcW w:w="1183" w:type="dxa"/>
            <w:tcBorders>
              <w:top w:val="single" w:color="auto" w:sz="4" w:space="0"/>
              <w:left w:val="single" w:color="auto" w:sz="4" w:space="0"/>
              <w:bottom w:val="single" w:color="auto" w:sz="4" w:space="0"/>
              <w:right w:val="single" w:color="auto" w:sz="4" w:space="0"/>
            </w:tcBorders>
            <w:shd w:val="clear"/>
            <w:vAlign w:val="center"/>
          </w:tcPr>
          <w:p w14:paraId="2D448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bdr w:val="none" w:color="auto" w:sz="0" w:space="0"/>
                <w:lang w:val="en-US"/>
              </w:rPr>
            </w:pPr>
          </w:p>
        </w:tc>
        <w:tc>
          <w:tcPr>
            <w:tcW w:w="992" w:type="dxa"/>
            <w:tcBorders>
              <w:top w:val="single" w:color="auto" w:sz="4" w:space="0"/>
              <w:left w:val="single" w:color="auto" w:sz="4" w:space="0"/>
              <w:bottom w:val="single" w:color="auto" w:sz="4" w:space="0"/>
              <w:right w:val="single" w:color="auto" w:sz="4" w:space="0"/>
            </w:tcBorders>
            <w:shd w:val="clear"/>
            <w:vAlign w:val="center"/>
          </w:tcPr>
          <w:p w14:paraId="390B3CE5">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c>
          <w:tcPr>
            <w:tcW w:w="1006" w:type="dxa"/>
            <w:tcBorders>
              <w:top w:val="single" w:color="auto" w:sz="4" w:space="0"/>
              <w:left w:val="single" w:color="auto" w:sz="4" w:space="0"/>
              <w:bottom w:val="single" w:color="auto" w:sz="4" w:space="0"/>
              <w:right w:val="single" w:color="auto" w:sz="4" w:space="0"/>
            </w:tcBorders>
            <w:shd w:val="clear"/>
            <w:vAlign w:val="center"/>
          </w:tcPr>
          <w:p w14:paraId="4183F44D">
            <w:pPr>
              <w:keepNext w:val="0"/>
              <w:keepLines w:val="0"/>
              <w:widowControl w:val="0"/>
              <w:suppressLineNumbers w:val="0"/>
              <w:spacing w:before="0" w:beforeAutospacing="0" w:after="0" w:afterAutospacing="0"/>
              <w:ind w:left="0" w:right="0"/>
              <w:jc w:val="center"/>
              <w:textAlignment w:val="center"/>
              <w:rPr>
                <w:rFonts w:hint="eastAsia" w:ascii="宋体" w:hAnsi="宋体" w:eastAsia="宋体" w:cs="宋体"/>
                <w:color w:val="000000"/>
                <w:sz w:val="24"/>
                <w:szCs w:val="24"/>
                <w:bdr w:val="none" w:color="auto" w:sz="0" w:space="0"/>
                <w:lang w:val="en-US"/>
              </w:rPr>
            </w:pPr>
          </w:p>
        </w:tc>
      </w:tr>
      <w:tr w14:paraId="7ED5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57" w:hRule="atLeast"/>
          <w:jc w:val="center"/>
        </w:trPr>
        <w:tc>
          <w:tcPr>
            <w:tcW w:w="9102" w:type="dxa"/>
            <w:gridSpan w:val="7"/>
            <w:tcBorders>
              <w:top w:val="single" w:color="auto" w:sz="4" w:space="0"/>
              <w:left w:val="single" w:color="auto" w:sz="4" w:space="0"/>
              <w:bottom w:val="single" w:color="auto" w:sz="4" w:space="0"/>
              <w:right w:val="single" w:color="auto" w:sz="4" w:space="0"/>
            </w:tcBorders>
            <w:shd w:val="clear"/>
            <w:vAlign w:val="center"/>
          </w:tcPr>
          <w:p w14:paraId="61821C9C">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合计金额：</w:t>
            </w:r>
            <w:r>
              <w:rPr>
                <w:rFonts w:hint="eastAsia" w:ascii="宋体" w:hAnsi="宋体" w:eastAsia="宋体" w:cs="宋体"/>
                <w:color w:val="000000"/>
                <w:kern w:val="2"/>
                <w:sz w:val="24"/>
                <w:szCs w:val="24"/>
                <w:bdr w:val="none" w:color="auto" w:sz="0" w:space="0"/>
                <w:lang w:val="en-US" w:eastAsia="zh-CN" w:bidi="ar"/>
              </w:rPr>
              <w:t>大写：</w:t>
            </w:r>
            <w:r>
              <w:rPr>
                <w:rFonts w:hint="eastAsia" w:ascii="宋体" w:hAnsi="宋体" w:eastAsia="宋体" w:cs="宋体"/>
                <w:color w:val="000000"/>
                <w:kern w:val="2"/>
                <w:sz w:val="24"/>
                <w:szCs w:val="24"/>
                <w:u w:val="single"/>
                <w:bdr w:val="none" w:color="auto" w:sz="0" w:space="0"/>
                <w:lang w:val="en-US" w:eastAsia="zh-CN" w:bidi="ar"/>
              </w:rPr>
              <w:t xml:space="preserve">          元整人民币</w:t>
            </w:r>
            <w:r>
              <w:rPr>
                <w:rFonts w:hint="eastAsia" w:ascii="宋体" w:hAnsi="宋体" w:eastAsia="宋体" w:cs="宋体"/>
                <w:color w:val="000000"/>
                <w:kern w:val="2"/>
                <w:sz w:val="24"/>
                <w:szCs w:val="24"/>
                <w:bdr w:val="none" w:color="auto" w:sz="0" w:space="0"/>
                <w:lang w:val="en-US" w:eastAsia="zh-CN" w:bidi="ar"/>
              </w:rPr>
              <w:t>；   小写：</w:t>
            </w:r>
            <w:r>
              <w:rPr>
                <w:rFonts w:hint="eastAsia" w:ascii="宋体" w:hAnsi="宋体" w:eastAsia="宋体" w:cs="宋体"/>
                <w:kern w:val="2"/>
                <w:sz w:val="24"/>
                <w:szCs w:val="24"/>
                <w:bdr w:val="none" w:color="auto" w:sz="0" w:space="0"/>
                <w:lang w:val="en-US" w:eastAsia="zh-CN" w:bidi="ar"/>
              </w:rPr>
              <w:t>¥</w:t>
            </w:r>
            <w:r>
              <w:rPr>
                <w:rFonts w:hint="eastAsia" w:ascii="宋体" w:hAnsi="宋体" w:eastAsia="宋体" w:cs="宋体"/>
                <w:color w:val="000000"/>
                <w:kern w:val="2"/>
                <w:sz w:val="24"/>
                <w:szCs w:val="24"/>
                <w:u w:val="single"/>
                <w:bdr w:val="none" w:color="auto" w:sz="0" w:space="0"/>
                <w:lang w:val="en-US" w:eastAsia="zh-CN" w:bidi="ar"/>
              </w:rPr>
              <w:t xml:space="preserve"> ,000.00元。</w:t>
            </w:r>
          </w:p>
        </w:tc>
      </w:tr>
    </w:tbl>
    <w:p w14:paraId="34E33034">
      <w:pPr>
        <w:keepNext w:val="0"/>
        <w:keepLines w:val="0"/>
        <w:widowControl w:val="0"/>
        <w:suppressLineNumbers w:val="0"/>
        <w:spacing w:before="0" w:beforeAutospacing="0" w:after="0" w:afterAutospacing="0" w:line="500" w:lineRule="exact"/>
        <w:ind w:left="0" w:right="0" w:firstLine="482" w:firstLineChars="200"/>
        <w:jc w:val="both"/>
        <w:rPr>
          <w:bCs/>
          <w:sz w:val="24"/>
          <w:szCs w:val="24"/>
          <w:lang w:val="en-US"/>
        </w:rPr>
      </w:pPr>
      <w:r>
        <w:rPr>
          <w:rFonts w:hint="eastAsia" w:ascii="Times New Roman" w:hAnsi="Times New Roman" w:eastAsia="宋体" w:cs="宋体"/>
          <w:b/>
          <w:bCs w:val="0"/>
          <w:kern w:val="2"/>
          <w:sz w:val="24"/>
          <w:szCs w:val="24"/>
          <w:lang w:val="en-US" w:eastAsia="zh-CN" w:bidi="ar"/>
        </w:rPr>
        <w:t>第二条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价格条款：</w:t>
      </w:r>
      <w:r>
        <w:rPr>
          <w:rFonts w:hint="default" w:ascii="Times New Roman" w:hAnsi="Times New Roman" w:eastAsia="宋体" w:cs="Times New Roman"/>
          <w:kern w:val="2"/>
          <w:sz w:val="24"/>
          <w:szCs w:val="24"/>
          <w:lang w:val="en-US" w:eastAsia="zh-CN" w:bidi="ar"/>
        </w:rPr>
        <w:t>CIP</w:t>
      </w:r>
      <w:r>
        <w:rPr>
          <w:rFonts w:hint="eastAsia" w:ascii="Times New Roman" w:hAnsi="Times New Roman" w:eastAsia="宋体" w:cs="宋体"/>
          <w:kern w:val="2"/>
          <w:sz w:val="24"/>
          <w:szCs w:val="24"/>
          <w:lang w:val="en-US" w:eastAsia="zh-CN" w:bidi="ar"/>
        </w:rPr>
        <w:t>内蒙古自治区人民医院；</w:t>
      </w:r>
      <w:r>
        <w:rPr>
          <w:rFonts w:hint="eastAsia" w:ascii="Times New Roman" w:hAnsi="Times New Roman" w:eastAsia="宋体" w:cs="宋体"/>
          <w:bCs/>
          <w:kern w:val="2"/>
          <w:sz w:val="24"/>
          <w:szCs w:val="24"/>
          <w:lang w:val="en-US" w:eastAsia="zh-CN" w:bidi="ar"/>
        </w:rPr>
        <w:t>乙方负责将设备运至甲方医院的运输及保险费用；设备运至甲方后的吊装、卸货及将设备运至安装地点的费用均由乙方承担；设备销售价格不得高于其他医院和其他购货方，否则本合同按最低价执行。</w:t>
      </w:r>
    </w:p>
    <w:p w14:paraId="12D6AECA">
      <w:pPr>
        <w:keepNext w:val="0"/>
        <w:keepLines w:val="0"/>
        <w:widowControl w:val="0"/>
        <w:suppressLineNumbers w:val="0"/>
        <w:spacing w:before="0" w:beforeAutospacing="0" w:after="0" w:afterAutospacing="0" w:line="500" w:lineRule="exact"/>
        <w:ind w:left="0" w:right="0" w:firstLine="482" w:firstLineChars="200"/>
        <w:jc w:val="both"/>
        <w:rPr>
          <w:bCs/>
          <w:sz w:val="24"/>
          <w:szCs w:val="24"/>
          <w:lang w:val="en-US"/>
        </w:rPr>
      </w:pPr>
      <w:r>
        <w:rPr>
          <w:rFonts w:hint="eastAsia" w:ascii="Times New Roman" w:hAnsi="Times New Roman" w:eastAsia="宋体" w:cs="宋体"/>
          <w:b/>
          <w:bCs w:val="0"/>
          <w:kern w:val="2"/>
          <w:sz w:val="24"/>
          <w:szCs w:val="24"/>
          <w:lang w:val="en-US" w:eastAsia="zh-CN" w:bidi="ar"/>
        </w:rPr>
        <w:t>第三条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结算方式：</w:t>
      </w:r>
      <w:r>
        <w:rPr>
          <w:rFonts w:hint="eastAsia"/>
          <w:bCs/>
          <w:sz w:val="24"/>
          <w:szCs w:val="24"/>
        </w:rPr>
        <w:t>合同签订甲方收到设备，验收且运行合格，甲方收到乙方提供的付款凭证后30日内向乙方支付合同总金额的50%货款；设备验收且运行合格6个月，甲方收到乙方提供的付款凭证后30日内向乙方支付合同总金额的40%货款；设备验收且运行合格1年后甲方收到乙方提供的付款凭证后30日内付清剩余10%货款</w:t>
      </w:r>
      <w:r>
        <w:rPr>
          <w:rFonts w:hint="eastAsia" w:ascii="宋体" w:hAnsi="宋体" w:eastAsia="宋体" w:cs="宋体"/>
          <w:kern w:val="2"/>
          <w:sz w:val="24"/>
          <w:szCs w:val="24"/>
          <w:lang w:val="en-US" w:eastAsia="zh-CN" w:bidi="ar"/>
        </w:rPr>
        <w:t>。</w:t>
      </w:r>
      <w:bookmarkStart w:id="0" w:name="_GoBack"/>
      <w:bookmarkEnd w:id="0"/>
    </w:p>
    <w:p w14:paraId="6BAC633E">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第四条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交（提）货方式、地点及时间：由乙方负责，严格按投标文件承诺的交货时间及交货地点执行，交货时间为合同签订后</w:t>
      </w:r>
      <w:r>
        <w:rPr>
          <w:rFonts w:hint="default" w:ascii="Times New Roman" w:hAnsi="Times New Roman" w:eastAsia="宋体" w:cs="Times New Roman"/>
          <w:kern w:val="2"/>
          <w:sz w:val="24"/>
          <w:szCs w:val="24"/>
          <w:lang w:val="en-US" w:eastAsia="zh-CN" w:bidi="ar"/>
        </w:rPr>
        <w:t>30</w:t>
      </w:r>
      <w:r>
        <w:rPr>
          <w:rFonts w:hint="eastAsia" w:ascii="Times New Roman" w:hAnsi="Times New Roman" w:eastAsia="宋体" w:cs="宋体"/>
          <w:bCs/>
          <w:kern w:val="2"/>
          <w:sz w:val="24"/>
          <w:szCs w:val="24"/>
          <w:lang w:val="en-US" w:eastAsia="zh-CN" w:bidi="ar"/>
        </w:rPr>
        <w:t>日</w:t>
      </w:r>
      <w:r>
        <w:rPr>
          <w:rFonts w:hint="eastAsia" w:ascii="Times New Roman" w:hAnsi="Times New Roman" w:eastAsia="宋体" w:cs="宋体"/>
          <w:kern w:val="2"/>
          <w:sz w:val="24"/>
          <w:szCs w:val="24"/>
          <w:lang w:val="en-US" w:eastAsia="zh-CN" w:bidi="ar"/>
        </w:rPr>
        <w:t>内；交货地点为内蒙古自治区人民医院。</w:t>
      </w:r>
    </w:p>
    <w:p w14:paraId="4943A291">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第五条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包装标准、包装物的供应与回收：按《医疗器械说明书、标签和包装标识管理规定》要求进行包装。</w:t>
      </w:r>
    </w:p>
    <w:p w14:paraId="3EE8653F">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第六条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质量标准：产品的医疗器械注册证中的产品标准</w:t>
      </w:r>
      <w:r>
        <w:rPr>
          <w:rFonts w:hint="eastAsia" w:ascii="宋体" w:hAnsi="宋体" w:eastAsia="宋体" w:cs="宋体"/>
          <w:kern w:val="2"/>
          <w:sz w:val="24"/>
          <w:szCs w:val="24"/>
          <w:lang w:val="en-US" w:eastAsia="zh-CN" w:bidi="ar"/>
        </w:rPr>
        <w:t>等国家相关标准</w:t>
      </w:r>
      <w:r>
        <w:rPr>
          <w:rFonts w:hint="eastAsia" w:ascii="Times New Roman" w:hAnsi="Times New Roman" w:eastAsia="宋体" w:cs="宋体"/>
          <w:kern w:val="2"/>
          <w:sz w:val="24"/>
          <w:szCs w:val="24"/>
          <w:lang w:val="en-US" w:eastAsia="zh-CN" w:bidi="ar"/>
        </w:rPr>
        <w:t>。</w:t>
      </w:r>
    </w:p>
    <w:p w14:paraId="3E3A6C4A">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第七条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安装调试及设备验收：乙方负责设备的安装调试，费用由乙方承担；属于医用计量器具的产品，卖方承担首次计量检测鉴定费用。合同生效后，乙方应将每台设备和仪器的中文说明书及技术资料、维修手册、软件备份、故障代码表、备件清单、零部件、维修密码等维护维修必备的材料和信息一套，连同设备一道交给甲方。若设备是国内货物，乙方应提供设备的出厂合格证、保修卡、装箱单及相关技术资料；若设备是国外货物，乙方应提供设备的报关单、保修卡、装箱单及相关技术资料。设备验收由甲方和乙方共同完成，到货验收（查验外包装、合同号、箱件数、收货单位名称、品名、货号、批次及相关材料；开箱查验医疗设备品名、规格、数量、外观、技术资料、出厂日期、出厂编号等）及性能验收（验证医疗设备功能；验证医疗设备技术参数和性能指标），验收后均须双方签字确认，设备试运行</w:t>
      </w:r>
      <w:r>
        <w:rPr>
          <w:rFonts w:hint="default" w:ascii="Times New Roman" w:hAnsi="Times New Roman" w:eastAsia="宋体" w:cs="Times New Roman"/>
          <w:kern w:val="2"/>
          <w:sz w:val="24"/>
          <w:szCs w:val="24"/>
          <w:lang w:val="en-US" w:eastAsia="zh-CN" w:bidi="ar"/>
        </w:rPr>
        <w:t>10</w:t>
      </w:r>
      <w:r>
        <w:rPr>
          <w:rFonts w:hint="eastAsia" w:ascii="Times New Roman" w:hAnsi="Times New Roman" w:eastAsia="宋体" w:cs="宋体"/>
          <w:kern w:val="2"/>
          <w:sz w:val="24"/>
          <w:szCs w:val="24"/>
          <w:lang w:val="en-US" w:eastAsia="zh-CN" w:bidi="ar"/>
        </w:rPr>
        <w:t>天后无故障，方可视为验收合格。</w:t>
      </w:r>
    </w:p>
    <w:p w14:paraId="7B83401C">
      <w:pPr>
        <w:keepNext w:val="0"/>
        <w:keepLines w:val="0"/>
        <w:widowControl w:val="0"/>
        <w:suppressLineNumbers w:val="0"/>
        <w:spacing w:before="0" w:beforeAutospacing="0" w:after="0" w:afterAutospacing="0" w:line="500" w:lineRule="exact"/>
        <w:ind w:left="0" w:right="0" w:firstLine="482" w:firstLineChars="200"/>
        <w:jc w:val="left"/>
        <w:rPr>
          <w:sz w:val="24"/>
          <w:szCs w:val="24"/>
          <w:u w:val="single"/>
          <w:lang w:val="en-US"/>
        </w:rPr>
      </w:pPr>
      <w:r>
        <w:rPr>
          <w:rFonts w:hint="eastAsia" w:ascii="Times New Roman" w:hAnsi="Times New Roman" w:eastAsia="宋体" w:cs="宋体"/>
          <w:b/>
          <w:bCs w:val="0"/>
          <w:kern w:val="2"/>
          <w:sz w:val="24"/>
          <w:szCs w:val="24"/>
          <w:lang w:val="en-US" w:eastAsia="zh-CN" w:bidi="ar"/>
        </w:rPr>
        <w:t>第八条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乙方对质量负责的条件及期限：乙方向甲方保证，凡按本合同出售的设备，交货时将不存在任何材料、生产工艺和所有权方面的瑕疵；本合同所有设备质保期为验收合格后</w:t>
      </w:r>
      <w:r>
        <w:rPr>
          <w:rFonts w:hint="default" w:ascii="Times New Roman" w:hAnsi="Times New Roman" w:eastAsia="宋体" w:cs="Times New Roman"/>
          <w:kern w:val="2"/>
          <w:sz w:val="24"/>
          <w:szCs w:val="24"/>
          <w:u w:val="single"/>
          <w:lang w:val="en-US" w:eastAsia="zh-CN" w:bidi="ar"/>
        </w:rPr>
        <w:t>24</w:t>
      </w:r>
      <w:r>
        <w:rPr>
          <w:rFonts w:hint="eastAsia" w:ascii="Times New Roman" w:hAnsi="Times New Roman" w:eastAsia="宋体" w:cs="宋体"/>
          <w:kern w:val="2"/>
          <w:sz w:val="24"/>
          <w:szCs w:val="24"/>
          <w:lang w:val="en-US" w:eastAsia="zh-CN" w:bidi="ar"/>
        </w:rPr>
        <w:t>个月（包含整机及配件等）</w:t>
      </w:r>
      <w:r>
        <w:rPr>
          <w:rFonts w:hint="eastAsia" w:ascii="宋体" w:hAnsi="宋体" w:eastAsia="宋体" w:cs="宋体"/>
          <w:kern w:val="2"/>
          <w:sz w:val="24"/>
          <w:szCs w:val="24"/>
          <w:lang w:val="en-US" w:eastAsia="zh-CN" w:bidi="ar"/>
        </w:rPr>
        <w:t>，</w:t>
      </w:r>
      <w:r>
        <w:rPr>
          <w:rFonts w:hint="eastAsia" w:ascii="Times New Roman" w:hAnsi="Times New Roman" w:eastAsia="宋体" w:cs="宋体"/>
          <w:kern w:val="2"/>
          <w:sz w:val="24"/>
          <w:szCs w:val="24"/>
          <w:lang w:val="en-US" w:eastAsia="zh-CN" w:bidi="ar"/>
        </w:rPr>
        <w:t>质保期内正常使用中出现故障，由乙方提供免费维修，并更换损坏的配件。乙方为甲方提供与设备生产厂家签订的售后服务承诺书，乙方在保修期满后，继续为甲方提供维修服务，换件收取符合市场价的配件费用。</w:t>
      </w:r>
    </w:p>
    <w:p w14:paraId="33518687">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第九条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随设备的必备品、配件、工具数量及供应办法：要求乙方按投标文件要求的标准配置准确配送，并提供设备安全风险报告、技术白皮书。</w:t>
      </w:r>
    </w:p>
    <w:p w14:paraId="055969FD">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第十条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技术培训：设备安装后，乙方负责免费在甲方处对甲方相关工作人员进行现场培训，维修培训。设备安装后，乙方负责免费在甲方处进行必要的维修培训。</w:t>
      </w:r>
    </w:p>
    <w:p w14:paraId="04E0A64B">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第十一条</w:t>
      </w:r>
      <w:r>
        <w:rPr>
          <w:rFonts w:hint="default" w:ascii="Times New Roman" w:hAnsi="Times New Roman" w:eastAsia="宋体" w:cs="Times New Roman"/>
          <w:b/>
          <w:bCs w:val="0"/>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产品所有权自甲方验收合格时起转移，但购货单位未履行支付价款义务的，产品属于乙方所有。</w:t>
      </w:r>
    </w:p>
    <w:p w14:paraId="4F726E74">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第十二条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售后服务：根据国家食品药品监督管理总局令第</w:t>
      </w:r>
      <w:r>
        <w:rPr>
          <w:rFonts w:hint="default" w:ascii="Times New Roman" w:hAnsi="Times New Roman" w:eastAsia="宋体" w:cs="Times New Roman"/>
          <w:kern w:val="2"/>
          <w:sz w:val="24"/>
          <w:szCs w:val="24"/>
          <w:lang w:val="en-US" w:eastAsia="zh-CN" w:bidi="ar"/>
        </w:rPr>
        <w:t>18</w:t>
      </w:r>
      <w:r>
        <w:rPr>
          <w:rFonts w:hint="eastAsia" w:ascii="Times New Roman" w:hAnsi="Times New Roman" w:eastAsia="宋体" w:cs="宋体"/>
          <w:kern w:val="2"/>
          <w:sz w:val="24"/>
          <w:szCs w:val="24"/>
          <w:lang w:val="en-US" w:eastAsia="zh-CN" w:bidi="ar"/>
        </w:rPr>
        <w:t>号《医疗器械使用质量监督管理办法》，除应按照投标文件中的售后服务承诺书执行外，还需乙方负责提供生产企业的维护与维修手册、软件备份、故障代码表、备件清单、零部件、维修密码等维护维修必须的材料和信息。</w:t>
      </w:r>
    </w:p>
    <w:p w14:paraId="4764D7CD">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sz w:val="24"/>
          <w:szCs w:val="24"/>
          <w:lang w:val="en-US"/>
        </w:rPr>
      </w:pPr>
      <w:r>
        <w:rPr>
          <w:rFonts w:hint="eastAsia" w:ascii="Times New Roman" w:hAnsi="Times New Roman" w:eastAsia="宋体" w:cs="宋体"/>
          <w:b/>
          <w:bCs w:val="0"/>
          <w:kern w:val="2"/>
          <w:sz w:val="24"/>
          <w:szCs w:val="24"/>
          <w:lang w:val="en-US" w:eastAsia="zh-CN" w:bidi="ar"/>
        </w:rPr>
        <w:t>第十三条</w:t>
      </w:r>
      <w:r>
        <w:rPr>
          <w:rFonts w:hint="default" w:ascii="Times New Roman" w:hAnsi="Times New Roman" w:eastAsia="宋体" w:cs="Times New Roman"/>
          <w:b/>
          <w:bCs w:val="0"/>
          <w:kern w:val="2"/>
          <w:sz w:val="24"/>
          <w:szCs w:val="24"/>
          <w:lang w:val="en-US" w:eastAsia="zh-CN" w:bidi="ar"/>
        </w:rPr>
        <w:t xml:space="preserve">  </w:t>
      </w:r>
      <w:r>
        <w:rPr>
          <w:rFonts w:hint="eastAsia" w:ascii="宋体" w:hAnsi="宋体" w:eastAsia="宋体" w:cs="宋体"/>
          <w:kern w:val="2"/>
          <w:sz w:val="24"/>
          <w:szCs w:val="24"/>
          <w:lang w:val="en-US" w:eastAsia="zh-CN" w:bidi="ar"/>
        </w:rPr>
        <w:t>权利及义务</w:t>
      </w:r>
    </w:p>
    <w:p w14:paraId="028C192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（一）甲方权利与义务</w:t>
      </w:r>
    </w:p>
    <w:p w14:paraId="1CBD1B9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1、甲方按照合同约定的时间、地点接收货物。</w:t>
      </w:r>
    </w:p>
    <w:p w14:paraId="636CABCD">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（二）乙方权利与义务</w:t>
      </w:r>
    </w:p>
    <w:p w14:paraId="51A17AD4">
      <w:pPr>
        <w:keepNext w:val="0"/>
        <w:keepLines w:val="0"/>
        <w:widowControl w:val="0"/>
        <w:suppressLineNumbers w:val="0"/>
        <w:spacing w:before="0" w:beforeAutospacing="0" w:after="0" w:afterAutospacing="0" w:line="500" w:lineRule="exact"/>
        <w:ind w:left="0" w:right="0" w:firstLine="480" w:firstLineChars="200"/>
        <w:jc w:val="both"/>
        <w:rPr>
          <w:sz w:val="24"/>
          <w:szCs w:val="24"/>
          <w:lang w:val="en-US"/>
        </w:rPr>
      </w:pPr>
      <w:r>
        <w:rPr>
          <w:rFonts w:hint="eastAsia" w:ascii="宋体" w:hAnsi="宋体" w:eastAsia="宋体" w:cs="宋体"/>
          <w:kern w:val="2"/>
          <w:sz w:val="24"/>
          <w:szCs w:val="24"/>
          <w:lang w:val="en-US" w:eastAsia="zh-CN" w:bidi="ar"/>
        </w:rPr>
        <w:t>1、</w:t>
      </w:r>
      <w:r>
        <w:rPr>
          <w:rFonts w:hint="eastAsia" w:ascii="Times New Roman" w:hAnsi="Times New Roman" w:eastAsia="宋体" w:cs="宋体"/>
          <w:kern w:val="2"/>
          <w:sz w:val="24"/>
          <w:szCs w:val="24"/>
          <w:lang w:val="en-US" w:eastAsia="zh-CN" w:bidi="ar"/>
        </w:rPr>
        <w:t>乙方向甲方保证，凡按本合同出售的设备，交货时将不存在任何材料、生产工艺和所有权方面的瑕疵，保证所售货物完好无损。</w:t>
      </w:r>
    </w:p>
    <w:p w14:paraId="45EE5282">
      <w:pPr>
        <w:keepNext w:val="0"/>
        <w:keepLines w:val="0"/>
        <w:widowControl w:val="0"/>
        <w:suppressLineNumbers w:val="0"/>
        <w:spacing w:before="0" w:beforeAutospacing="0" w:after="0" w:afterAutospacing="0" w:line="500" w:lineRule="exact"/>
        <w:ind w:left="0" w:right="0" w:firstLine="480" w:firstLineChars="200"/>
        <w:jc w:val="both"/>
        <w:rPr>
          <w:sz w:val="24"/>
          <w:szCs w:val="24"/>
          <w:u w:val="single"/>
          <w:lang w:val="en-US"/>
        </w:rPr>
      </w:pP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、乙方必须在约定的地点、期限，按照约定的数量和品质标准交付货物。</w:t>
      </w:r>
    </w:p>
    <w:p w14:paraId="4A323A53">
      <w:pPr>
        <w:keepNext w:val="0"/>
        <w:keepLines w:val="0"/>
        <w:widowControl w:val="0"/>
        <w:suppressLineNumbers w:val="0"/>
        <w:spacing w:before="0" w:beforeAutospacing="0" w:after="0" w:afterAutospacing="0" w:line="500" w:lineRule="exact"/>
        <w:ind w:left="0" w:right="0" w:firstLine="482" w:firstLineChars="200"/>
        <w:jc w:val="both"/>
        <w:rPr>
          <w:b/>
          <w:bCs w:val="0"/>
          <w:sz w:val="24"/>
          <w:szCs w:val="24"/>
          <w:lang w:val="en-US"/>
        </w:rPr>
      </w:pPr>
      <w:r>
        <w:rPr>
          <w:rFonts w:hint="eastAsia" w:ascii="Times New Roman" w:hAnsi="Times New Roman" w:eastAsia="宋体" w:cs="宋体"/>
          <w:b/>
          <w:bCs w:val="0"/>
          <w:kern w:val="2"/>
          <w:sz w:val="24"/>
          <w:szCs w:val="24"/>
          <w:lang w:val="en-US" w:eastAsia="zh-CN" w:bidi="ar"/>
        </w:rPr>
        <w:t>第十四条</w:t>
      </w:r>
      <w:r>
        <w:rPr>
          <w:rFonts w:hint="default" w:ascii="Times New Roman" w:hAnsi="Times New Roman" w:eastAsia="宋体" w:cs="Times New Roman"/>
          <w:b/>
          <w:bCs w:val="0"/>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本合同解除的条件：</w:t>
      </w:r>
      <w:r>
        <w:rPr>
          <w:rFonts w:hint="default" w:ascii="Times New Roman" w:hAnsi="Times New Roman" w:eastAsia="宋体" w:cs="Times New Roman"/>
          <w:kern w:val="2"/>
          <w:sz w:val="24"/>
          <w:szCs w:val="24"/>
          <w:u w:val="single"/>
          <w:lang w:val="en-US" w:eastAsia="zh-CN" w:bidi="ar"/>
        </w:rPr>
        <w:t xml:space="preserve"> </w:t>
      </w:r>
      <w:r>
        <w:rPr>
          <w:rFonts w:hint="eastAsia" w:ascii="Times New Roman" w:hAnsi="Times New Roman" w:eastAsia="宋体" w:cs="宋体"/>
          <w:kern w:val="2"/>
          <w:sz w:val="24"/>
          <w:szCs w:val="24"/>
          <w:u w:val="single"/>
          <w:lang w:val="en-US" w:eastAsia="zh-CN" w:bidi="ar"/>
        </w:rPr>
        <w:t>参照《中华人民共和国民法典》</w:t>
      </w:r>
      <w:r>
        <w:rPr>
          <w:rFonts w:hint="default"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b/>
          <w:bCs w:val="0"/>
          <w:kern w:val="2"/>
          <w:sz w:val="24"/>
          <w:szCs w:val="24"/>
          <w:u w:val="single"/>
          <w:lang w:val="en-US" w:eastAsia="zh-CN" w:bidi="ar"/>
        </w:rPr>
        <w:t xml:space="preserve">                                     </w:t>
      </w:r>
    </w:p>
    <w:p w14:paraId="3651BB08">
      <w:pPr>
        <w:keepNext w:val="0"/>
        <w:keepLines w:val="0"/>
        <w:widowControl w:val="0"/>
        <w:suppressLineNumbers w:val="0"/>
        <w:spacing w:before="0" w:beforeAutospacing="0" w:after="0" w:afterAutospacing="0" w:line="500" w:lineRule="exact"/>
        <w:ind w:left="0" w:right="0" w:firstLine="482" w:firstLineChars="200"/>
        <w:jc w:val="both"/>
        <w:rPr>
          <w:b/>
          <w:bCs w:val="0"/>
          <w:sz w:val="24"/>
          <w:szCs w:val="24"/>
          <w:lang w:val="en-US"/>
        </w:rPr>
      </w:pPr>
      <w:r>
        <w:rPr>
          <w:rFonts w:hint="eastAsia" w:ascii="Times New Roman" w:hAnsi="Times New Roman" w:eastAsia="宋体" w:cs="宋体"/>
          <w:b/>
          <w:bCs w:val="0"/>
          <w:kern w:val="2"/>
          <w:sz w:val="24"/>
          <w:szCs w:val="24"/>
          <w:lang w:val="en-US" w:eastAsia="zh-CN" w:bidi="ar"/>
        </w:rPr>
        <w:t>第十五条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违约责任：</w:t>
      </w:r>
    </w:p>
    <w:p w14:paraId="51640B02">
      <w:pPr>
        <w:keepNext w:val="0"/>
        <w:keepLines w:val="0"/>
        <w:widowControl w:val="0"/>
        <w:suppressLineNumbers w:val="0"/>
        <w:spacing w:before="0" w:beforeAutospacing="0" w:after="0" w:afterAutospacing="0" w:line="500" w:lineRule="exact"/>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宋体"/>
          <w:kern w:val="2"/>
          <w:sz w:val="24"/>
          <w:szCs w:val="24"/>
          <w:lang w:val="en-US" w:eastAsia="zh-CN" w:bidi="ar"/>
        </w:rPr>
        <w:t>、由于乙方所供产品质量、非不可抗力等原因给甲方造成经济损失时，由乙方承担相应责任，并负责赔偿损失；</w:t>
      </w:r>
    </w:p>
    <w:p w14:paraId="1C6B9F52">
      <w:pPr>
        <w:keepNext w:val="0"/>
        <w:keepLines w:val="0"/>
        <w:widowControl w:val="0"/>
        <w:suppressLineNumbers w:val="0"/>
        <w:spacing w:before="0" w:beforeAutospacing="0" w:after="0" w:afterAutospacing="0" w:line="500" w:lineRule="exact"/>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、若乙方所提供的货物不符合质量要求验收不能通过，或者在使用过程中质量出现问题影响（或无法）正常使用，经过整改仍不能满足要求，甲方有权解除合同并不予支付相应的货款。</w:t>
      </w:r>
    </w:p>
    <w:p w14:paraId="2D91B553">
      <w:pPr>
        <w:keepNext w:val="0"/>
        <w:keepLines w:val="0"/>
        <w:widowControl w:val="0"/>
        <w:suppressLineNumbers w:val="0"/>
        <w:spacing w:before="0" w:beforeAutospacing="0" w:after="0" w:afterAutospacing="0" w:line="500" w:lineRule="exact"/>
        <w:ind w:left="0" w:right="0" w:firstLine="480" w:firstLineChars="200"/>
        <w:jc w:val="both"/>
        <w:rPr>
          <w:sz w:val="24"/>
          <w:szCs w:val="24"/>
          <w:lang w:val="en-US"/>
        </w:rPr>
      </w:pP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宋体"/>
          <w:kern w:val="2"/>
          <w:sz w:val="24"/>
          <w:szCs w:val="24"/>
          <w:lang w:val="en-US" w:eastAsia="zh-CN" w:bidi="ar"/>
        </w:rPr>
        <w:t>、由于乙方原因未按合同约定送货，甲方有权解除合同，同时乙方应向甲方偿付合同总价的</w:t>
      </w:r>
      <w:r>
        <w:rPr>
          <w:rFonts w:hint="default" w:ascii="Times New Roman" w:hAnsi="Times New Roman" w:eastAsia="宋体" w:cs="Times New Roman"/>
          <w:kern w:val="2"/>
          <w:sz w:val="24"/>
          <w:szCs w:val="24"/>
          <w:lang w:val="en-US" w:eastAsia="zh-CN" w:bidi="ar"/>
        </w:rPr>
        <w:t>30%</w:t>
      </w:r>
      <w:r>
        <w:rPr>
          <w:rFonts w:hint="eastAsia" w:ascii="Times New Roman" w:hAnsi="Times New Roman" w:eastAsia="宋体" w:cs="宋体"/>
          <w:kern w:val="2"/>
          <w:sz w:val="24"/>
          <w:szCs w:val="24"/>
          <w:lang w:val="en-US" w:eastAsia="zh-CN" w:bidi="ar"/>
        </w:rPr>
        <w:t>违约金。</w:t>
      </w:r>
    </w:p>
    <w:p w14:paraId="7165C1F8">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第十六条</w:t>
      </w:r>
      <w:r>
        <w:rPr>
          <w:rFonts w:hint="default" w:ascii="Times New Roman" w:hAnsi="Times New Roman" w:eastAsia="宋体" w:cs="Times New Roman"/>
          <w:b/>
          <w:bCs w:val="0"/>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合同争议的解决方式：本合同在履行过程中发生的争议，应由双方当事人进行协商解决；协商不成的，任何一方可依法向甲方所在地人民法院起诉解决。</w:t>
      </w:r>
    </w:p>
    <w:p w14:paraId="79F9F63E">
      <w:pPr>
        <w:pStyle w:val="3"/>
        <w:widowControl/>
        <w:spacing w:line="360" w:lineRule="auto"/>
        <w:ind w:left="0" w:firstLine="482" w:firstLineChars="200"/>
        <w:rPr>
          <w:b/>
          <w:bCs w:val="0"/>
          <w:sz w:val="24"/>
          <w:szCs w:val="24"/>
          <w:lang w:val="en-US"/>
        </w:rPr>
      </w:pPr>
      <w:r>
        <w:rPr>
          <w:b/>
          <w:bCs w:val="0"/>
          <w:sz w:val="24"/>
          <w:szCs w:val="24"/>
          <w:lang w:eastAsia="zh-CN"/>
        </w:rPr>
        <w:t xml:space="preserve">第十七条 </w:t>
      </w:r>
      <w:r>
        <w:rPr>
          <w:bCs/>
          <w:sz w:val="24"/>
          <w:szCs w:val="24"/>
          <w:lang w:eastAsia="zh-CN"/>
        </w:rPr>
        <w:t xml:space="preserve"> 不可抗力：</w:t>
      </w:r>
    </w:p>
    <w:p w14:paraId="42713CF3">
      <w:pPr>
        <w:pStyle w:val="3"/>
        <w:widowControl/>
        <w:spacing w:line="360" w:lineRule="auto"/>
        <w:ind w:left="0" w:firstLine="480" w:firstLineChars="200"/>
        <w:rPr>
          <w:bCs/>
          <w:sz w:val="24"/>
          <w:szCs w:val="24"/>
          <w:lang w:val="en-US"/>
        </w:rPr>
      </w:pPr>
      <w:r>
        <w:rPr>
          <w:bCs/>
          <w:sz w:val="24"/>
          <w:szCs w:val="24"/>
          <w:lang w:val="en-US"/>
        </w:rPr>
        <w:t>1</w:t>
      </w:r>
      <w:r>
        <w:rPr>
          <w:bCs/>
          <w:sz w:val="24"/>
          <w:szCs w:val="24"/>
          <w:lang w:eastAsia="zh-CN"/>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0231F53E">
      <w:pPr>
        <w:pStyle w:val="3"/>
        <w:widowControl/>
        <w:spacing w:line="360" w:lineRule="auto"/>
        <w:ind w:left="0" w:firstLine="480" w:firstLineChars="200"/>
        <w:rPr>
          <w:bCs/>
          <w:sz w:val="24"/>
          <w:szCs w:val="24"/>
          <w:lang w:val="en-US"/>
        </w:rPr>
      </w:pPr>
      <w:r>
        <w:rPr>
          <w:bCs/>
          <w:sz w:val="24"/>
          <w:szCs w:val="24"/>
          <w:lang w:val="en-US"/>
        </w:rPr>
        <w:t>2</w:t>
      </w:r>
      <w:r>
        <w:rPr>
          <w:bCs/>
          <w:sz w:val="24"/>
          <w:szCs w:val="24"/>
          <w:lang w:eastAsia="zh-CN"/>
        </w:rPr>
        <w:t>、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协议。</w:t>
      </w:r>
    </w:p>
    <w:p w14:paraId="674BE9BB">
      <w:pPr>
        <w:pStyle w:val="3"/>
        <w:widowControl/>
        <w:spacing w:line="360" w:lineRule="auto"/>
        <w:ind w:left="0" w:firstLine="480" w:firstLineChars="200"/>
        <w:rPr>
          <w:lang w:val="en-US"/>
        </w:rPr>
      </w:pPr>
      <w:r>
        <w:rPr>
          <w:bCs/>
          <w:sz w:val="24"/>
          <w:szCs w:val="24"/>
          <w:lang w:val="en-US"/>
        </w:rPr>
        <w:t>3</w:t>
      </w:r>
      <w:r>
        <w:rPr>
          <w:bCs/>
          <w:sz w:val="24"/>
          <w:szCs w:val="24"/>
          <w:lang w:eastAsia="zh-CN"/>
        </w:rPr>
        <w:t>、因为不可抗力不能履行本合同的，根据不可抗力的影响，可以部分或全部免除履约方的责任，法律另有规定的除外。一方迟延履行后发生不可抗力的，不能免除责任。</w:t>
      </w:r>
    </w:p>
    <w:p w14:paraId="65E04F5D">
      <w:pPr>
        <w:keepNext w:val="0"/>
        <w:keepLines w:val="0"/>
        <w:widowControl w:val="0"/>
        <w:suppressLineNumbers w:val="0"/>
        <w:spacing w:before="0" w:beforeAutospacing="0" w:after="0" w:afterAutospacing="0" w:line="500" w:lineRule="exact"/>
        <w:ind w:left="0" w:right="0" w:firstLine="482" w:firstLineChars="200"/>
        <w:jc w:val="both"/>
        <w:rPr>
          <w:b/>
          <w:bCs w:val="0"/>
          <w:sz w:val="24"/>
          <w:szCs w:val="24"/>
          <w:lang w:val="en-US"/>
        </w:rPr>
      </w:pPr>
      <w:r>
        <w:rPr>
          <w:rFonts w:hint="eastAsia" w:ascii="Times New Roman" w:hAnsi="Times New Roman" w:eastAsia="宋体" w:cs="宋体"/>
          <w:b/>
          <w:bCs w:val="0"/>
          <w:kern w:val="2"/>
          <w:sz w:val="24"/>
          <w:szCs w:val="24"/>
          <w:lang w:val="en-US" w:eastAsia="zh-CN" w:bidi="ar"/>
        </w:rPr>
        <w:t>第十八条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本合同设备的招标文件、投标文件、采购结果公告、中标通知书等相关文件是本合同不可分割的组成部分。本合同未尽事宜，双方应协商解决或签订补充协议。</w:t>
      </w: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b/>
          <w:bCs w:val="0"/>
          <w:kern w:val="2"/>
          <w:sz w:val="24"/>
          <w:szCs w:val="24"/>
          <w:lang w:val="en-US" w:eastAsia="zh-CN" w:bidi="ar"/>
        </w:rPr>
        <w:t xml:space="preserve">                             </w:t>
      </w:r>
    </w:p>
    <w:p w14:paraId="72110D70">
      <w:pPr>
        <w:keepNext w:val="0"/>
        <w:keepLines w:val="0"/>
        <w:widowControl w:val="0"/>
        <w:suppressLineNumbers w:val="0"/>
        <w:spacing w:before="0" w:beforeAutospacing="0" w:after="0" w:afterAutospacing="0" w:line="500" w:lineRule="exact"/>
        <w:ind w:left="0" w:right="0" w:firstLine="482" w:firstLineChars="200"/>
        <w:jc w:val="left"/>
        <w:rPr>
          <w:b/>
          <w:bCs w:val="0"/>
          <w:sz w:val="24"/>
          <w:szCs w:val="24"/>
          <w:lang w:val="en-US"/>
        </w:rPr>
      </w:pPr>
      <w:r>
        <w:rPr>
          <w:rFonts w:hint="eastAsia" w:ascii="Times New Roman" w:hAnsi="Times New Roman" w:eastAsia="宋体" w:cs="宋体"/>
          <w:b/>
          <w:bCs w:val="0"/>
          <w:kern w:val="2"/>
          <w:sz w:val="24"/>
          <w:szCs w:val="24"/>
          <w:lang w:val="en-US" w:eastAsia="zh-CN" w:bidi="ar"/>
        </w:rPr>
        <w:t>第十九条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本合同经甲、乙双方签字、盖章后生效。本合同内容如遇国家法律、法规及政策另有规定的，从其规定。</w:t>
      </w:r>
    </w:p>
    <w:p w14:paraId="7155CE03">
      <w:pPr>
        <w:keepNext w:val="0"/>
        <w:keepLines w:val="0"/>
        <w:widowControl w:val="0"/>
        <w:suppressLineNumbers w:val="0"/>
        <w:spacing w:before="0" w:beforeAutospacing="0" w:after="0" w:afterAutospacing="0" w:line="500" w:lineRule="exact"/>
        <w:ind w:left="0" w:right="0" w:firstLine="482" w:firstLineChars="200"/>
        <w:jc w:val="both"/>
        <w:rPr>
          <w:sz w:val="24"/>
          <w:szCs w:val="24"/>
          <w:lang w:val="en-US"/>
        </w:rPr>
      </w:pPr>
      <w:r>
        <w:rPr>
          <w:rFonts w:hint="eastAsia" w:ascii="Times New Roman" w:hAnsi="Times New Roman" w:eastAsia="宋体" w:cs="宋体"/>
          <w:b/>
          <w:bCs w:val="0"/>
          <w:kern w:val="2"/>
          <w:sz w:val="24"/>
          <w:szCs w:val="24"/>
          <w:lang w:val="en-US" w:eastAsia="zh-CN" w:bidi="ar"/>
        </w:rPr>
        <w:t>第二十条</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本合同一式五份，甲方执三份、乙方执一份、甲方招标代理机构执一份。</w:t>
      </w:r>
    </w:p>
    <w:p w14:paraId="2CB87D3C">
      <w:pPr>
        <w:pStyle w:val="3"/>
        <w:widowControl/>
        <w:rPr>
          <w:lang w:val="en-US"/>
        </w:rPr>
      </w:pPr>
    </w:p>
    <w:p w14:paraId="7B522FA1">
      <w:pPr>
        <w:pStyle w:val="3"/>
        <w:widowControl/>
        <w:rPr>
          <w:lang w:val="en-US"/>
        </w:rPr>
      </w:pPr>
    </w:p>
    <w:p w14:paraId="2289A667">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7C1BD19D">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6D9F867C">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47FFA914">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4EA50528">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5C7C9D52">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020A41EE">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1681E8AE">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5C8082AB">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12E9DB2B">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38B7D53A">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11C79B63">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0A0C834C">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59C955B4">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0D9ACE80">
      <w:pPr>
        <w:pStyle w:val="2"/>
        <w:widowControl/>
        <w:rPr>
          <w:rFonts w:hint="eastAsia" w:ascii="宋体" w:hAnsi="宋体" w:eastAsia="宋体" w:cs="宋体"/>
          <w:b/>
          <w:bCs w:val="0"/>
          <w:sz w:val="24"/>
          <w:szCs w:val="24"/>
          <w:lang w:val="en-US"/>
        </w:rPr>
      </w:pPr>
    </w:p>
    <w:p w14:paraId="49EE5249">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p>
    <w:p w14:paraId="556209D6">
      <w:pPr>
        <w:pStyle w:val="2"/>
        <w:widowControl/>
        <w:rPr>
          <w:rFonts w:hint="eastAsia" w:ascii="宋体" w:hAnsi="宋体" w:eastAsia="宋体" w:cs="宋体"/>
          <w:b/>
          <w:bCs w:val="0"/>
          <w:sz w:val="24"/>
          <w:szCs w:val="24"/>
          <w:lang w:val="en-US"/>
        </w:rPr>
      </w:pPr>
    </w:p>
    <w:p w14:paraId="51084F05">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p>
    <w:p w14:paraId="4BF24B9C">
      <w:pPr>
        <w:pStyle w:val="2"/>
        <w:widowControl/>
        <w:rPr>
          <w:rFonts w:hint="eastAsia" w:ascii="宋体" w:hAnsi="宋体" w:eastAsia="宋体" w:cs="宋体"/>
          <w:b/>
          <w:bCs w:val="0"/>
          <w:sz w:val="24"/>
          <w:szCs w:val="24"/>
          <w:lang w:val="en-US"/>
        </w:rPr>
      </w:pPr>
    </w:p>
    <w:p w14:paraId="3C54D1A1">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p>
    <w:p w14:paraId="11583718">
      <w:pPr>
        <w:pStyle w:val="2"/>
        <w:widowControl/>
        <w:rPr>
          <w:rFonts w:hint="eastAsia" w:ascii="宋体" w:hAnsi="宋体" w:eastAsia="宋体" w:cs="宋体"/>
          <w:b/>
          <w:bCs w:val="0"/>
          <w:sz w:val="24"/>
          <w:szCs w:val="24"/>
          <w:lang w:val="en-US"/>
        </w:rPr>
      </w:pPr>
    </w:p>
    <w:p w14:paraId="6EC71326">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p>
    <w:p w14:paraId="379B85FF">
      <w:pPr>
        <w:pStyle w:val="2"/>
        <w:widowControl/>
        <w:rPr>
          <w:rFonts w:hint="eastAsia" w:ascii="宋体" w:hAnsi="宋体" w:eastAsia="宋体" w:cs="宋体"/>
          <w:b/>
          <w:bCs w:val="0"/>
          <w:sz w:val="24"/>
          <w:szCs w:val="24"/>
          <w:lang w:val="en-US"/>
        </w:rPr>
      </w:pPr>
    </w:p>
    <w:p w14:paraId="7438166B">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p>
    <w:p w14:paraId="6BE1813B">
      <w:pPr>
        <w:pStyle w:val="2"/>
        <w:widowControl/>
        <w:rPr>
          <w:lang w:val="en-US"/>
        </w:rPr>
      </w:pPr>
    </w:p>
    <w:p w14:paraId="1F15C743">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（此页无正文）</w:t>
      </w:r>
    </w:p>
    <w:p w14:paraId="0993FF18">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b/>
          <w:bCs w:val="0"/>
          <w:sz w:val="24"/>
          <w:szCs w:val="24"/>
          <w:lang w:val="en-US"/>
        </w:rPr>
      </w:pPr>
    </w:p>
    <w:p w14:paraId="5C846103">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甲方：</w:t>
      </w:r>
      <w:r>
        <w:rPr>
          <w:rFonts w:hint="eastAsia" w:ascii="宋体" w:hAnsi="宋体" w:eastAsia="宋体" w:cs="宋体"/>
          <w:b/>
          <w:bCs/>
          <w:kern w:val="2"/>
          <w:sz w:val="24"/>
          <w:szCs w:val="24"/>
          <w:lang w:val="en-US" w:eastAsia="zh-CN" w:bidi="ar"/>
        </w:rPr>
        <w:t xml:space="preserve">内蒙古自治区人民医院（加盖公章） </w:t>
      </w:r>
      <w:r>
        <w:rPr>
          <w:rFonts w:hint="eastAsia" w:ascii="宋体" w:hAnsi="宋体" w:eastAsia="宋体" w:cs="宋体"/>
          <w:kern w:val="2"/>
          <w:sz w:val="24"/>
          <w:szCs w:val="24"/>
          <w:lang w:val="en-US" w:eastAsia="zh-CN" w:bidi="ar"/>
        </w:rPr>
        <w:t xml:space="preserve">                </w:t>
      </w:r>
    </w:p>
    <w:p w14:paraId="5460E031">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法定代表人或法人授权代表（签字）：              </w:t>
      </w:r>
    </w:p>
    <w:p w14:paraId="35D1D4ED">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地址：呼和浩特市赛罕区昭乌达路20号       </w:t>
      </w:r>
    </w:p>
    <w:p w14:paraId="1268144D">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邮政编码：010017                     </w:t>
      </w:r>
    </w:p>
    <w:p w14:paraId="03706D15">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电话：0471-3283060       </w:t>
      </w:r>
    </w:p>
    <w:p w14:paraId="4E8407CD">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开户银行：中国农业银行呼和浩特市鼓楼支行</w:t>
      </w:r>
    </w:p>
    <w:p w14:paraId="156B89AB">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开户账号：05510101040000910</w:t>
      </w:r>
    </w:p>
    <w:p w14:paraId="1947E3EE">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纳税人识别号：12150000460028258G               </w:t>
      </w:r>
    </w:p>
    <w:p w14:paraId="7AFAE929">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日        </w:t>
      </w:r>
    </w:p>
    <w:p w14:paraId="1B307D29">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p>
    <w:p w14:paraId="1DA522EC">
      <w:pPr>
        <w:keepNext w:val="0"/>
        <w:keepLines w:val="0"/>
        <w:widowControl/>
        <w:suppressLineNumbers w:val="0"/>
        <w:spacing w:before="0" w:beforeAutospacing="0" w:after="0" w:afterAutospacing="0" w:line="540" w:lineRule="exact"/>
        <w:ind w:left="0" w:right="0" w:firstLine="723" w:firstLineChars="300"/>
        <w:jc w:val="left"/>
        <w:rPr>
          <w:rFonts w:hint="eastAsia" w:ascii="宋体" w:hAnsi="宋体" w:eastAsia="宋体" w:cs="宋体"/>
          <w:bCs/>
          <w:sz w:val="24"/>
          <w:szCs w:val="24"/>
          <w:lang w:val="en-US"/>
        </w:rPr>
      </w:pPr>
      <w:r>
        <w:rPr>
          <w:rFonts w:hint="eastAsia" w:ascii="宋体" w:hAnsi="宋体" w:eastAsia="宋体" w:cs="宋体"/>
          <w:b/>
          <w:bCs w:val="0"/>
          <w:kern w:val="2"/>
          <w:sz w:val="24"/>
          <w:szCs w:val="24"/>
          <w:lang w:val="en-US" w:eastAsia="zh-CN" w:bidi="ar"/>
        </w:rPr>
        <w:t>乙方：</w:t>
      </w:r>
      <w:r>
        <w:rPr>
          <w:rFonts w:hint="eastAsia" w:ascii="宋体" w:hAnsi="宋体" w:eastAsia="宋体" w:cs="宋体"/>
          <w:b/>
          <w:bCs w:val="0"/>
          <w:kern w:val="2"/>
          <w:sz w:val="24"/>
          <w:szCs w:val="24"/>
          <w:u w:val="single"/>
          <w:lang w:val="en-US" w:eastAsia="zh-CN" w:bidi="ar"/>
        </w:rPr>
        <w:t xml:space="preserve">                      </w:t>
      </w:r>
      <w:r>
        <w:rPr>
          <w:rFonts w:hint="eastAsia" w:ascii="宋体" w:hAnsi="宋体" w:eastAsia="宋体" w:cs="宋体"/>
          <w:b/>
          <w:bCs w:val="0"/>
          <w:kern w:val="2"/>
          <w:sz w:val="24"/>
          <w:szCs w:val="24"/>
          <w:lang w:val="en-US" w:eastAsia="zh-CN" w:bidi="ar"/>
        </w:rPr>
        <w:t xml:space="preserve">（加盖公章） </w:t>
      </w:r>
    </w:p>
    <w:p w14:paraId="601872D4">
      <w:pPr>
        <w:keepNext w:val="0"/>
        <w:keepLines w:val="0"/>
        <w:widowControl/>
        <w:suppressLineNumbers w:val="0"/>
        <w:spacing w:before="0" w:beforeAutospacing="0" w:after="0" w:afterAutospacing="0" w:line="540" w:lineRule="exact"/>
        <w:ind w:left="840" w:leftChars="400" w:right="0"/>
        <w:jc w:val="left"/>
        <w:rPr>
          <w:sz w:val="28"/>
          <w:szCs w:val="28"/>
          <w:lang w:val="en-US"/>
        </w:rPr>
      </w:pPr>
      <w:r>
        <w:rPr>
          <w:rFonts w:hint="eastAsia" w:ascii="宋体" w:hAnsi="宋体" w:eastAsia="宋体" w:cs="宋体"/>
          <w:kern w:val="2"/>
          <w:sz w:val="24"/>
          <w:szCs w:val="24"/>
          <w:lang w:val="en-US" w:eastAsia="zh-CN" w:bidi="ar"/>
        </w:rPr>
        <w:t>法定代表人或法人授权代表（签字）：</w:t>
      </w:r>
    </w:p>
    <w:p w14:paraId="5D10A923">
      <w:pPr>
        <w:keepNext w:val="0"/>
        <w:keepLines w:val="0"/>
        <w:widowControl/>
        <w:suppressLineNumbers w:val="0"/>
        <w:spacing w:before="0" w:beforeAutospacing="0" w:after="0" w:afterAutospacing="0" w:line="540" w:lineRule="exact"/>
        <w:ind w:left="840" w:leftChars="40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地址：</w:t>
      </w:r>
    </w:p>
    <w:p w14:paraId="79FA5CD1">
      <w:pPr>
        <w:keepNext w:val="0"/>
        <w:keepLines w:val="0"/>
        <w:widowControl/>
        <w:suppressLineNumbers w:val="0"/>
        <w:spacing w:before="0" w:beforeAutospacing="0" w:after="0" w:afterAutospacing="0" w:line="540" w:lineRule="exact"/>
        <w:ind w:left="840" w:leftChars="40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邮政编码：</w:t>
      </w:r>
    </w:p>
    <w:p w14:paraId="43A1F309">
      <w:pPr>
        <w:keepNext w:val="0"/>
        <w:keepLines w:val="0"/>
        <w:widowControl/>
        <w:suppressLineNumbers w:val="0"/>
        <w:spacing w:before="0" w:beforeAutospacing="0" w:after="0" w:afterAutospacing="0" w:line="540" w:lineRule="exact"/>
        <w:ind w:left="840" w:leftChars="40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电话：</w:t>
      </w:r>
    </w:p>
    <w:p w14:paraId="5091B0E0">
      <w:pPr>
        <w:keepNext w:val="0"/>
        <w:keepLines w:val="0"/>
        <w:widowControl/>
        <w:suppressLineNumbers w:val="0"/>
        <w:spacing w:before="0" w:beforeAutospacing="0" w:after="0" w:afterAutospacing="0" w:line="540" w:lineRule="exact"/>
        <w:ind w:left="840" w:leftChars="40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传真：  </w:t>
      </w:r>
    </w:p>
    <w:p w14:paraId="00009C4C">
      <w:pPr>
        <w:keepNext w:val="0"/>
        <w:keepLines w:val="0"/>
        <w:widowControl/>
        <w:suppressLineNumbers w:val="0"/>
        <w:spacing w:before="0" w:beforeAutospacing="0" w:after="0" w:afterAutospacing="0" w:line="540" w:lineRule="exact"/>
        <w:ind w:left="840" w:leftChars="400" w:right="0"/>
        <w:jc w:val="left"/>
        <w:rPr>
          <w:sz w:val="24"/>
          <w:szCs w:val="24"/>
          <w:lang w:val="en-US"/>
        </w:rPr>
      </w:pPr>
      <w:r>
        <w:rPr>
          <w:rFonts w:hint="eastAsia" w:ascii="Times New Roman" w:hAnsi="Times New Roman" w:eastAsia="宋体" w:cs="宋体"/>
          <w:kern w:val="2"/>
          <w:sz w:val="24"/>
          <w:szCs w:val="24"/>
          <w:lang w:val="en-US" w:eastAsia="zh-CN" w:bidi="ar"/>
        </w:rPr>
        <w:t>电子邮箱：</w:t>
      </w:r>
      <w:r>
        <w:rPr>
          <w:rFonts w:hint="default" w:ascii="Times New Roman" w:hAnsi="Times New Roman" w:eastAsia="宋体" w:cs="Times New Roman"/>
          <w:kern w:val="2"/>
          <w:sz w:val="24"/>
          <w:szCs w:val="24"/>
          <w:lang w:val="en-US" w:eastAsia="zh-CN" w:bidi="ar"/>
        </w:rPr>
        <w:t xml:space="preserve">    </w:t>
      </w:r>
    </w:p>
    <w:p w14:paraId="69044EC5">
      <w:pPr>
        <w:keepNext w:val="0"/>
        <w:keepLines w:val="0"/>
        <w:widowControl w:val="0"/>
        <w:suppressLineNumbers w:val="0"/>
        <w:spacing w:before="0" w:beforeAutospacing="0" w:after="0" w:afterAutospacing="0" w:line="540" w:lineRule="exact"/>
        <w:ind w:left="840" w:leftChars="40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开户银行：</w:t>
      </w:r>
    </w:p>
    <w:p w14:paraId="1B38FC8A">
      <w:pPr>
        <w:keepNext w:val="0"/>
        <w:keepLines w:val="0"/>
        <w:widowControl/>
        <w:suppressLineNumbers w:val="0"/>
        <w:spacing w:before="0" w:beforeAutospacing="0" w:after="0" w:afterAutospacing="0" w:line="540" w:lineRule="exact"/>
        <w:ind w:left="840" w:leftChars="40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帐号：</w:t>
      </w:r>
    </w:p>
    <w:p w14:paraId="336416FB">
      <w:pPr>
        <w:keepNext w:val="0"/>
        <w:keepLines w:val="0"/>
        <w:widowControl/>
        <w:suppressLineNumbers w:val="0"/>
        <w:spacing w:before="0" w:beforeAutospacing="0" w:after="0" w:afterAutospacing="0" w:line="540" w:lineRule="exact"/>
        <w:ind w:left="840" w:leftChars="40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p w14:paraId="2931208A">
      <w:pPr>
        <w:keepNext w:val="0"/>
        <w:keepLines w:val="0"/>
        <w:widowControl/>
        <w:suppressLineNumbers w:val="0"/>
        <w:spacing w:before="0" w:beforeAutospacing="0" w:after="0" w:afterAutospacing="0" w:line="540" w:lineRule="exact"/>
        <w:ind w:left="840" w:leftChars="400" w:right="0"/>
        <w:jc w:val="left"/>
        <w:rPr>
          <w:rFonts w:hint="eastAsia" w:ascii="宋体" w:hAnsi="宋体" w:eastAsia="宋体" w:cs="宋体"/>
          <w:sz w:val="24"/>
          <w:szCs w:val="24"/>
          <w:lang w:val="en-US"/>
        </w:rPr>
      </w:pPr>
    </w:p>
    <w:p w14:paraId="70C24D65">
      <w:pPr>
        <w:pStyle w:val="3"/>
        <w:widowControl/>
        <w:rPr>
          <w:rFonts w:hAnsi="宋体"/>
          <w:sz w:val="24"/>
          <w:szCs w:val="24"/>
          <w:lang w:val="en-US"/>
        </w:rPr>
      </w:pPr>
    </w:p>
    <w:p w14:paraId="178A0BF6">
      <w:pPr>
        <w:pStyle w:val="3"/>
        <w:widowControl/>
        <w:spacing w:line="360" w:lineRule="auto"/>
        <w:rPr>
          <w:rFonts w:hAnsi="宋体"/>
          <w:sz w:val="24"/>
          <w:szCs w:val="24"/>
          <w:lang w:val="en-US"/>
        </w:rPr>
      </w:pPr>
      <w:r>
        <w:rPr>
          <w:rFonts w:hAnsi="宋体"/>
          <w:sz w:val="24"/>
          <w:szCs w:val="24"/>
          <w:lang w:eastAsia="zh-CN"/>
        </w:rPr>
        <w:t>附件</w:t>
      </w:r>
      <w:r>
        <w:rPr>
          <w:rFonts w:hAnsi="宋体"/>
          <w:sz w:val="24"/>
          <w:szCs w:val="24"/>
          <w:lang w:val="en-US"/>
        </w:rPr>
        <w:t>1</w:t>
      </w:r>
      <w:r>
        <w:rPr>
          <w:rFonts w:hAnsi="宋体"/>
          <w:sz w:val="24"/>
          <w:szCs w:val="24"/>
          <w:lang w:eastAsia="zh-CN"/>
        </w:rPr>
        <w:t>：成交通知书</w:t>
      </w:r>
    </w:p>
    <w:p w14:paraId="52A6B764">
      <w:pPr>
        <w:pStyle w:val="3"/>
        <w:widowControl/>
        <w:spacing w:line="360" w:lineRule="auto"/>
        <w:rPr>
          <w:rFonts w:hAnsi="宋体"/>
          <w:sz w:val="24"/>
          <w:szCs w:val="24"/>
          <w:lang w:val="en-US"/>
        </w:rPr>
      </w:pPr>
      <w:r>
        <w:rPr>
          <w:rFonts w:hAnsi="宋体"/>
          <w:sz w:val="24"/>
          <w:szCs w:val="24"/>
          <w:lang w:eastAsia="zh-CN"/>
        </w:rPr>
        <w:t>附件</w:t>
      </w:r>
      <w:r>
        <w:rPr>
          <w:rFonts w:hAnsi="宋体"/>
          <w:sz w:val="24"/>
          <w:szCs w:val="24"/>
          <w:lang w:val="en-US"/>
        </w:rPr>
        <w:t>2</w:t>
      </w:r>
      <w:r>
        <w:rPr>
          <w:rFonts w:hAnsi="宋体"/>
          <w:sz w:val="24"/>
          <w:szCs w:val="24"/>
          <w:lang w:eastAsia="zh-CN"/>
        </w:rPr>
        <w:t>：内蒙古自治区人民医院采购项目廉洁购销合同</w:t>
      </w:r>
    </w:p>
    <w:p w14:paraId="7F3742F7">
      <w:pPr>
        <w:pStyle w:val="3"/>
        <w:widowControl/>
        <w:spacing w:line="360" w:lineRule="auto"/>
        <w:rPr>
          <w:rFonts w:hAnsi="宋体"/>
          <w:sz w:val="24"/>
          <w:szCs w:val="24"/>
          <w:lang w:val="en-US"/>
        </w:rPr>
      </w:pPr>
      <w:r>
        <w:rPr>
          <w:rFonts w:hAnsi="宋体"/>
          <w:sz w:val="24"/>
          <w:szCs w:val="24"/>
          <w:lang w:eastAsia="zh-CN"/>
        </w:rPr>
        <w:t>附件</w:t>
      </w:r>
      <w:r>
        <w:rPr>
          <w:rFonts w:hAnsi="宋体"/>
          <w:sz w:val="24"/>
          <w:szCs w:val="24"/>
          <w:lang w:val="en-US"/>
        </w:rPr>
        <w:t>3</w:t>
      </w:r>
      <w:r>
        <w:rPr>
          <w:rFonts w:hAnsi="宋体"/>
          <w:sz w:val="24"/>
          <w:szCs w:val="24"/>
          <w:lang w:eastAsia="zh-CN"/>
        </w:rPr>
        <w:t>：医疗设备配置清单</w:t>
      </w:r>
    </w:p>
    <w:p w14:paraId="33676A7B">
      <w:pPr>
        <w:pStyle w:val="3"/>
        <w:widowControl/>
        <w:spacing w:line="360" w:lineRule="auto"/>
        <w:rPr>
          <w:rFonts w:hAnsi="宋体"/>
          <w:sz w:val="24"/>
          <w:szCs w:val="24"/>
          <w:lang w:val="en-US"/>
        </w:rPr>
      </w:pPr>
      <w:r>
        <w:rPr>
          <w:rFonts w:hAnsi="宋体"/>
          <w:sz w:val="24"/>
          <w:szCs w:val="24"/>
          <w:lang w:eastAsia="zh-CN"/>
        </w:rPr>
        <w:t>附件</w:t>
      </w:r>
      <w:r>
        <w:rPr>
          <w:rFonts w:hAnsi="宋体"/>
          <w:sz w:val="24"/>
          <w:szCs w:val="24"/>
          <w:lang w:val="en-US"/>
        </w:rPr>
        <w:t>1</w:t>
      </w:r>
      <w:r>
        <w:rPr>
          <w:rFonts w:hAnsi="宋体"/>
          <w:sz w:val="24"/>
          <w:szCs w:val="24"/>
          <w:lang w:eastAsia="zh-CN"/>
        </w:rPr>
        <w:t>：成交通知书</w:t>
      </w:r>
    </w:p>
    <w:p w14:paraId="5564FE79">
      <w:pPr>
        <w:pStyle w:val="3"/>
        <w:widowControl/>
        <w:spacing w:line="360" w:lineRule="auto"/>
        <w:rPr>
          <w:rFonts w:hAnsi="宋体"/>
          <w:sz w:val="24"/>
          <w:szCs w:val="24"/>
          <w:lang w:val="en-US"/>
        </w:rPr>
      </w:pPr>
    </w:p>
    <w:p w14:paraId="18477EB6">
      <w:pPr>
        <w:pStyle w:val="3"/>
        <w:widowControl/>
        <w:spacing w:line="360" w:lineRule="auto"/>
        <w:rPr>
          <w:rFonts w:hAnsi="宋体"/>
          <w:sz w:val="24"/>
          <w:szCs w:val="24"/>
          <w:lang w:val="en-US"/>
        </w:rPr>
      </w:pPr>
    </w:p>
    <w:p w14:paraId="2B07E398">
      <w:pPr>
        <w:pStyle w:val="3"/>
        <w:widowControl/>
        <w:spacing w:line="360" w:lineRule="auto"/>
        <w:rPr>
          <w:rFonts w:hAnsi="宋体"/>
          <w:sz w:val="24"/>
          <w:szCs w:val="24"/>
          <w:lang w:val="en-US"/>
        </w:rPr>
      </w:pPr>
    </w:p>
    <w:p w14:paraId="0476F349">
      <w:pPr>
        <w:pStyle w:val="3"/>
        <w:widowControl/>
        <w:spacing w:line="360" w:lineRule="auto"/>
        <w:rPr>
          <w:rFonts w:hAnsi="宋体"/>
          <w:sz w:val="24"/>
          <w:szCs w:val="24"/>
          <w:lang w:val="en-US"/>
        </w:rPr>
      </w:pPr>
    </w:p>
    <w:p w14:paraId="2B631A0E">
      <w:pPr>
        <w:pStyle w:val="3"/>
        <w:widowControl/>
        <w:spacing w:line="360" w:lineRule="auto"/>
        <w:rPr>
          <w:rFonts w:hAnsi="宋体"/>
          <w:sz w:val="24"/>
          <w:szCs w:val="24"/>
          <w:lang w:val="en-US"/>
        </w:rPr>
      </w:pPr>
    </w:p>
    <w:p w14:paraId="0081E147">
      <w:pPr>
        <w:pStyle w:val="3"/>
        <w:widowControl/>
        <w:spacing w:line="360" w:lineRule="auto"/>
        <w:rPr>
          <w:rFonts w:hAnsi="宋体"/>
          <w:sz w:val="24"/>
          <w:szCs w:val="24"/>
          <w:lang w:val="en-US"/>
        </w:rPr>
      </w:pPr>
    </w:p>
    <w:p w14:paraId="7CF10CF3">
      <w:pPr>
        <w:pStyle w:val="3"/>
        <w:widowControl/>
        <w:spacing w:line="360" w:lineRule="auto"/>
        <w:rPr>
          <w:rFonts w:hAnsi="宋体"/>
          <w:sz w:val="24"/>
          <w:szCs w:val="24"/>
          <w:lang w:val="en-US"/>
        </w:rPr>
      </w:pPr>
    </w:p>
    <w:p w14:paraId="5F06441A">
      <w:pPr>
        <w:pStyle w:val="3"/>
        <w:widowControl/>
        <w:spacing w:line="360" w:lineRule="auto"/>
        <w:rPr>
          <w:rFonts w:hAnsi="宋体"/>
          <w:sz w:val="24"/>
          <w:szCs w:val="24"/>
          <w:lang w:val="en-US"/>
        </w:rPr>
      </w:pPr>
    </w:p>
    <w:p w14:paraId="3803B979">
      <w:pPr>
        <w:pStyle w:val="3"/>
        <w:widowControl/>
        <w:spacing w:line="360" w:lineRule="auto"/>
        <w:rPr>
          <w:rFonts w:hAnsi="宋体"/>
          <w:sz w:val="24"/>
          <w:szCs w:val="24"/>
          <w:lang w:val="en-US"/>
        </w:rPr>
      </w:pPr>
    </w:p>
    <w:p w14:paraId="32E73359">
      <w:pPr>
        <w:pStyle w:val="3"/>
        <w:widowControl/>
        <w:spacing w:line="360" w:lineRule="auto"/>
        <w:rPr>
          <w:rFonts w:hAnsi="宋体"/>
          <w:sz w:val="24"/>
          <w:szCs w:val="24"/>
          <w:lang w:val="en-US"/>
        </w:rPr>
      </w:pPr>
    </w:p>
    <w:p w14:paraId="59A40ABF">
      <w:pPr>
        <w:pStyle w:val="3"/>
        <w:widowControl/>
        <w:spacing w:line="360" w:lineRule="auto"/>
        <w:rPr>
          <w:rFonts w:hAnsi="宋体"/>
          <w:sz w:val="24"/>
          <w:szCs w:val="24"/>
          <w:lang w:val="en-US"/>
        </w:rPr>
      </w:pPr>
    </w:p>
    <w:p w14:paraId="6DA218DD">
      <w:pPr>
        <w:pStyle w:val="3"/>
        <w:widowControl/>
        <w:spacing w:line="360" w:lineRule="auto"/>
        <w:rPr>
          <w:rFonts w:hAnsi="宋体"/>
          <w:sz w:val="24"/>
          <w:szCs w:val="24"/>
          <w:lang w:val="en-US"/>
        </w:rPr>
      </w:pPr>
    </w:p>
    <w:p w14:paraId="41BB9EAD">
      <w:pPr>
        <w:pStyle w:val="3"/>
        <w:widowControl/>
        <w:spacing w:line="360" w:lineRule="auto"/>
        <w:rPr>
          <w:rFonts w:hAnsi="宋体"/>
          <w:sz w:val="24"/>
          <w:szCs w:val="24"/>
          <w:lang w:val="en-US"/>
        </w:rPr>
      </w:pPr>
    </w:p>
    <w:p w14:paraId="57DAFCA5">
      <w:pPr>
        <w:pStyle w:val="3"/>
        <w:widowControl/>
        <w:spacing w:line="360" w:lineRule="auto"/>
        <w:rPr>
          <w:rFonts w:hAnsi="宋体"/>
          <w:sz w:val="24"/>
          <w:szCs w:val="24"/>
          <w:lang w:val="en-US"/>
        </w:rPr>
      </w:pPr>
    </w:p>
    <w:p w14:paraId="13C2A084">
      <w:pPr>
        <w:pStyle w:val="3"/>
        <w:widowControl/>
        <w:spacing w:line="360" w:lineRule="auto"/>
        <w:rPr>
          <w:rFonts w:hAnsi="宋体"/>
          <w:sz w:val="24"/>
          <w:szCs w:val="24"/>
          <w:lang w:val="en-US"/>
        </w:rPr>
      </w:pPr>
    </w:p>
    <w:p w14:paraId="72D02729">
      <w:pPr>
        <w:pStyle w:val="3"/>
        <w:widowControl/>
        <w:spacing w:line="360" w:lineRule="auto"/>
        <w:rPr>
          <w:rFonts w:hAnsi="宋体"/>
          <w:sz w:val="24"/>
          <w:szCs w:val="24"/>
          <w:lang w:val="en-US"/>
        </w:rPr>
      </w:pPr>
    </w:p>
    <w:p w14:paraId="7EB346C7">
      <w:pPr>
        <w:pStyle w:val="3"/>
        <w:widowControl/>
        <w:spacing w:line="360" w:lineRule="auto"/>
        <w:rPr>
          <w:rFonts w:hAnsi="宋体"/>
          <w:sz w:val="24"/>
          <w:szCs w:val="24"/>
          <w:lang w:val="en-US"/>
        </w:rPr>
      </w:pPr>
    </w:p>
    <w:p w14:paraId="4E54FDCB">
      <w:pPr>
        <w:pStyle w:val="3"/>
        <w:widowControl/>
        <w:spacing w:line="360" w:lineRule="auto"/>
        <w:rPr>
          <w:rFonts w:hAnsi="宋体"/>
          <w:sz w:val="24"/>
          <w:szCs w:val="24"/>
          <w:lang w:val="en-US"/>
        </w:rPr>
      </w:pPr>
    </w:p>
    <w:p w14:paraId="0FF47787">
      <w:pPr>
        <w:pStyle w:val="3"/>
        <w:widowControl/>
        <w:spacing w:line="360" w:lineRule="auto"/>
        <w:rPr>
          <w:rFonts w:hAnsi="宋体"/>
          <w:sz w:val="24"/>
          <w:szCs w:val="24"/>
          <w:lang w:val="en-US"/>
        </w:rPr>
      </w:pPr>
    </w:p>
    <w:p w14:paraId="7BCF4E8E">
      <w:pPr>
        <w:pStyle w:val="3"/>
        <w:widowControl/>
        <w:spacing w:line="360" w:lineRule="auto"/>
        <w:rPr>
          <w:rFonts w:hAnsi="宋体"/>
          <w:sz w:val="24"/>
          <w:szCs w:val="24"/>
          <w:lang w:val="en-US"/>
        </w:rPr>
      </w:pPr>
    </w:p>
    <w:p w14:paraId="604538B4">
      <w:pPr>
        <w:pStyle w:val="3"/>
        <w:widowControl/>
        <w:spacing w:line="360" w:lineRule="auto"/>
        <w:rPr>
          <w:rFonts w:hAnsi="宋体"/>
          <w:sz w:val="24"/>
          <w:szCs w:val="24"/>
          <w:lang w:val="en-US"/>
        </w:rPr>
      </w:pPr>
    </w:p>
    <w:p w14:paraId="4403703E">
      <w:pPr>
        <w:pStyle w:val="3"/>
        <w:widowControl/>
        <w:spacing w:line="360" w:lineRule="auto"/>
        <w:rPr>
          <w:rFonts w:hAnsi="宋体"/>
          <w:sz w:val="24"/>
          <w:szCs w:val="24"/>
          <w:lang w:val="en-US"/>
        </w:rPr>
      </w:pPr>
    </w:p>
    <w:p w14:paraId="5A400D45">
      <w:pPr>
        <w:pStyle w:val="3"/>
        <w:widowControl/>
        <w:spacing w:line="360" w:lineRule="auto"/>
        <w:rPr>
          <w:rFonts w:hAnsi="宋体"/>
          <w:sz w:val="24"/>
          <w:szCs w:val="24"/>
          <w:lang w:val="en-US"/>
        </w:rPr>
      </w:pPr>
    </w:p>
    <w:p w14:paraId="160BFB7D">
      <w:pPr>
        <w:pStyle w:val="3"/>
        <w:widowControl/>
        <w:spacing w:line="360" w:lineRule="auto"/>
        <w:rPr>
          <w:rFonts w:hAnsi="宋体"/>
          <w:sz w:val="24"/>
          <w:szCs w:val="24"/>
          <w:lang w:val="en-US"/>
        </w:rPr>
      </w:pPr>
    </w:p>
    <w:p w14:paraId="55352DF0">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6"/>
          <w:szCs w:val="36"/>
          <w:lang w:val="en-US"/>
        </w:rPr>
      </w:pPr>
    </w:p>
    <w:p w14:paraId="384B798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6"/>
          <w:szCs w:val="36"/>
          <w:lang w:val="en-US"/>
        </w:rPr>
      </w:pPr>
    </w:p>
    <w:p w14:paraId="5856DB3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6"/>
          <w:szCs w:val="36"/>
          <w:lang w:val="en-US"/>
        </w:rPr>
      </w:pPr>
    </w:p>
    <w:p w14:paraId="3976B6D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6"/>
          <w:szCs w:val="36"/>
          <w:lang w:val="en-US"/>
        </w:rPr>
      </w:pPr>
    </w:p>
    <w:p w14:paraId="658F228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6"/>
          <w:szCs w:val="36"/>
          <w:lang w:val="en-US"/>
        </w:rPr>
      </w:pPr>
    </w:p>
    <w:p w14:paraId="3D0154E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6"/>
          <w:szCs w:val="36"/>
          <w:lang w:val="en-US"/>
        </w:rPr>
      </w:pPr>
    </w:p>
    <w:p w14:paraId="2F49688D">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6"/>
          <w:szCs w:val="36"/>
          <w:lang w:val="en-US"/>
        </w:rPr>
      </w:pPr>
    </w:p>
    <w:p w14:paraId="58648B8F">
      <w:pPr>
        <w:keepNext w:val="0"/>
        <w:keepLines w:val="0"/>
        <w:widowControl w:val="0"/>
        <w:suppressLineNumbers w:val="0"/>
        <w:spacing w:before="0" w:beforeAutospacing="0" w:after="0" w:afterAutospacing="0" w:line="400" w:lineRule="exact"/>
        <w:ind w:left="0" w:right="0"/>
        <w:jc w:val="left"/>
        <w:rPr>
          <w:rFonts w:hAnsi="宋体"/>
          <w:sz w:val="24"/>
          <w:szCs w:val="24"/>
          <w:lang w:val="en-US"/>
        </w:rPr>
      </w:pPr>
      <w:r>
        <w:rPr>
          <w:rFonts w:hint="eastAsia" w:ascii="Times New Roman" w:hAnsi="宋体" w:eastAsia="宋体" w:cs="宋体"/>
          <w:kern w:val="2"/>
          <w:sz w:val="24"/>
          <w:szCs w:val="24"/>
          <w:lang w:val="en-US" w:eastAsia="zh-CN" w:bidi="ar"/>
        </w:rPr>
        <w:t>附件</w:t>
      </w:r>
      <w:r>
        <w:rPr>
          <w:rFonts w:hint="default" w:ascii="Times New Roman" w:hAnsi="宋体" w:eastAsia="宋体" w:cs="Times New Roman"/>
          <w:kern w:val="2"/>
          <w:sz w:val="24"/>
          <w:szCs w:val="24"/>
          <w:lang w:val="en-US" w:eastAsia="zh-CN" w:bidi="ar"/>
        </w:rPr>
        <w:t>2</w:t>
      </w:r>
      <w:r>
        <w:rPr>
          <w:rFonts w:hint="eastAsia" w:ascii="Times New Roman" w:hAnsi="宋体" w:eastAsia="宋体" w:cs="宋体"/>
          <w:kern w:val="2"/>
          <w:sz w:val="24"/>
          <w:szCs w:val="24"/>
          <w:lang w:val="en-US" w:eastAsia="zh-CN" w:bidi="ar"/>
        </w:rPr>
        <w:t>：</w:t>
      </w:r>
    </w:p>
    <w:p w14:paraId="1926A68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内蒙古自治区人民医院采购项目廉洁购销合同</w:t>
      </w:r>
    </w:p>
    <w:p w14:paraId="317BD86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28"/>
          <w:szCs w:val="28"/>
          <w:lang w:val="en-US"/>
        </w:rPr>
      </w:pPr>
      <w:r>
        <w:rPr>
          <w:rFonts w:hint="eastAsia" w:ascii="宋体" w:hAnsi="宋体" w:eastAsia="宋体" w:cs="宋体"/>
          <w:b/>
          <w:bCs w:val="0"/>
          <w:kern w:val="2"/>
          <w:sz w:val="28"/>
          <w:szCs w:val="28"/>
          <w:lang w:val="en-US" w:eastAsia="zh-CN" w:bidi="ar"/>
        </w:rPr>
        <w:t>（含设备、耗材试剂、后勤物资、基建工程、行业服务等）</w:t>
      </w:r>
    </w:p>
    <w:p w14:paraId="2733A0A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甲方（医疗卫生机构）：内蒙古自治区人民医院</w:t>
      </w:r>
    </w:p>
    <w:p w14:paraId="338D395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乙方（经营企业及其代理人）：</w:t>
      </w:r>
      <w:r>
        <w:rPr>
          <w:rFonts w:hint="eastAsia" w:ascii="宋体" w:hAnsi="宋体" w:eastAsia="宋体" w:cs="宋体"/>
          <w:b/>
          <w:bCs w:val="0"/>
          <w:kern w:val="2"/>
          <w:sz w:val="24"/>
          <w:szCs w:val="24"/>
          <w:u w:val="single"/>
          <w:lang w:val="en-US" w:eastAsia="zh-CN" w:bidi="ar"/>
        </w:rPr>
        <w:t xml:space="preserve">             </w:t>
      </w:r>
    </w:p>
    <w:p w14:paraId="1E3546E2">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为进一步加强医疗卫生行风建设，规范医疗卫生机构医药购销行为，有效防范商业贿赂行为，营造公平交易、诚实守信的购销环境，经甲、乙双方协商，同意签订本合同，并共同遵守：</w:t>
      </w:r>
    </w:p>
    <w:p w14:paraId="452A0DA1">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一、甲乙双方按照《中华人民共和国民法典》及产品购销合同约定购销医用设备、医用耗材试剂、后勤物资、基建工程、行业服务等产品。</w:t>
      </w:r>
    </w:p>
    <w:p w14:paraId="51DA3E2F">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二、甲方应当严格执行产品购销合同履约验收、入库制度，对采购产品及发票进行查验，不得违反有关规定合同外采购、违价采购或从非规定渠道采购。</w:t>
      </w:r>
    </w:p>
    <w:p w14:paraId="2ACF7CF1">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104DD2C">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四、严禁甲方工作人员利用任何途径和方式，为经营商提供采购的任何信息。</w:t>
      </w:r>
    </w:p>
    <w:p w14:paraId="4663636A">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五、乙方不得以回扣、宴请等违反廉洁方式影响甲方工作人员采购项目的正常运行。</w:t>
      </w:r>
    </w:p>
    <w:p w14:paraId="692F57A4">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六、乙方指定（加盖公章）</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作为销售代表洽谈业务。销售代表必须在工作时间到甲方指定地点联系商谈，不得到住院部、门诊部、医技科室及相关部门推销医疗设备、医用耗材试剂、后勤物资等产品，不得借故到甲方相关领导、部门负责人及相关工作人员家中访谈并提供任何好处费。</w:t>
      </w:r>
    </w:p>
    <w:p w14:paraId="78DDF7C4">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七、乙方不得以任何名义到医院各部门咨询采购项目的采购信息，不得干扰医院正常的采购行为。</w:t>
      </w:r>
    </w:p>
    <w:p w14:paraId="40DAB993">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八、乙方不得代替科室交接文件材料或参与院内采购流程。</w:t>
      </w:r>
    </w:p>
    <w:p w14:paraId="2801620C">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九、乙方在销售活动中，要遵守相关法律法规，严格执行合同条款，不以次充好，不降低产品质量，做到诚信经营。</w:t>
      </w:r>
    </w:p>
    <w:p w14:paraId="27541407">
      <w:pPr>
        <w:keepNext w:val="0"/>
        <w:keepLines w:val="0"/>
        <w:widowControl w:val="0"/>
        <w:suppressLineNumbers w:val="0"/>
        <w:spacing w:before="0" w:beforeAutospacing="0" w:after="0" w:afterAutospacing="0" w:line="400" w:lineRule="exact"/>
        <w:ind w:left="0" w:right="0" w:firstLine="489" w:firstLineChars="20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乙方如违反本合同，一经发现，甲方有权终止购销合同，列入医院不良记录供应商名单，并向有关卫生计生行政部门报告。如乙方被列入商业贿赂不良记录，则按照《国家卫生计生委关于建立医药购销领域商业贿赂不良记录的规定》（国卫法制发[2013]50号）相关规定处理。</w:t>
      </w:r>
    </w:p>
    <w:p w14:paraId="55DFC9FA">
      <w:pPr>
        <w:keepNext w:val="0"/>
        <w:keepLines w:val="0"/>
        <w:widowControl w:val="0"/>
        <w:suppressLineNumbers w:val="0"/>
        <w:spacing w:before="0" w:beforeAutospacing="0" w:after="0" w:afterAutospacing="0" w:line="400" w:lineRule="exact"/>
        <w:ind w:left="0" w:right="0" w:firstLine="489" w:firstLineChars="204"/>
        <w:jc w:val="both"/>
        <w:rPr>
          <w:rFonts w:hAnsi="宋体"/>
          <w:sz w:val="24"/>
          <w:szCs w:val="24"/>
          <w:lang w:val="en-US"/>
        </w:rPr>
      </w:pPr>
      <w:r>
        <w:rPr>
          <w:rFonts w:hint="eastAsia" w:ascii="宋体" w:hAnsi="宋体" w:eastAsia="宋体" w:cs="宋体"/>
          <w:kern w:val="2"/>
          <w:sz w:val="24"/>
          <w:szCs w:val="24"/>
          <w:lang w:val="en-US" w:eastAsia="zh-CN" w:bidi="ar"/>
        </w:rPr>
        <w:t>十一、本合同作为产品购销合同的重要组成部分，与产品购销合同一并执行，具有同等的法律效力。</w:t>
      </w:r>
    </w:p>
    <w:p w14:paraId="40FED3B2">
      <w:pPr>
        <w:keepNext w:val="0"/>
        <w:keepLines w:val="0"/>
        <w:widowControl w:val="0"/>
        <w:suppressLineNumbers w:val="0"/>
        <w:spacing w:before="0" w:beforeAutospacing="0" w:after="0" w:afterAutospacing="0" w:line="0" w:lineRule="atLeast"/>
        <w:ind w:left="0" w:right="0"/>
        <w:jc w:val="distribute"/>
        <w:rPr>
          <w:sz w:val="36"/>
          <w:szCs w:val="36"/>
          <w:lang w:val="en-US"/>
        </w:rPr>
      </w:pPr>
      <w:r>
        <w:rPr>
          <w:rFonts w:hint="default" w:ascii="Times New Roman" w:hAnsi="Times New Roman" w:eastAsia="宋体" w:cs="Times New Roman"/>
          <w:kern w:val="2"/>
          <w:sz w:val="36"/>
          <w:szCs w:val="36"/>
          <w:lang w:val="en-US" w:eastAsia="zh-CN" w:bidi="ar"/>
        </w:rPr>
        <w:t xml:space="preserve"> </w:t>
      </w:r>
    </w:p>
    <w:p w14:paraId="55128F0D">
      <w:pPr>
        <w:pStyle w:val="3"/>
        <w:widowControl/>
        <w:spacing w:line="360" w:lineRule="auto"/>
        <w:rPr>
          <w:rFonts w:hAnsi="宋体"/>
          <w:sz w:val="24"/>
          <w:szCs w:val="24"/>
          <w:lang w:val="en-US"/>
        </w:rPr>
      </w:pPr>
    </w:p>
    <w:p w14:paraId="0EB6B8BF">
      <w:pPr>
        <w:pStyle w:val="3"/>
        <w:widowControl/>
        <w:spacing w:line="360" w:lineRule="auto"/>
        <w:rPr>
          <w:rFonts w:hAnsi="宋体"/>
          <w:sz w:val="24"/>
          <w:szCs w:val="24"/>
          <w:lang w:val="en-US"/>
        </w:rPr>
      </w:pPr>
    </w:p>
    <w:p w14:paraId="0D4A4564">
      <w:pPr>
        <w:keepNext w:val="0"/>
        <w:keepLines w:val="0"/>
        <w:widowControl/>
        <w:suppressLineNumbers w:val="0"/>
        <w:spacing w:before="0" w:beforeAutospacing="0" w:after="0" w:afterAutospacing="0"/>
        <w:ind w:left="0" w:right="0"/>
        <w:jc w:val="center"/>
        <w:rPr>
          <w:rFonts w:hint="eastAsia" w:ascii="宋体" w:hAnsi="宋体" w:eastAsia="宋体" w:cs="宋体"/>
          <w:b/>
          <w:bCs/>
          <w:sz w:val="36"/>
          <w:szCs w:val="36"/>
          <w:lang w:val="en-US"/>
        </w:rPr>
      </w:pPr>
      <w:r>
        <w:rPr>
          <w:rFonts w:hint="eastAsia" w:ascii="Times New Roman" w:hAnsi="宋体" w:eastAsia="宋体" w:cs="宋体"/>
          <w:kern w:val="2"/>
          <w:sz w:val="24"/>
          <w:szCs w:val="24"/>
          <w:lang w:val="en-US" w:eastAsia="zh-CN" w:bidi="ar"/>
        </w:rPr>
        <w:t>附件</w:t>
      </w:r>
      <w:r>
        <w:rPr>
          <w:rFonts w:hint="default" w:ascii="Times New Roman" w:hAnsi="宋体" w:eastAsia="宋体" w:cs="Times New Roman"/>
          <w:kern w:val="2"/>
          <w:sz w:val="24"/>
          <w:szCs w:val="24"/>
          <w:lang w:val="en-US" w:eastAsia="zh-CN" w:bidi="ar"/>
        </w:rPr>
        <w:t>3</w:t>
      </w:r>
      <w:r>
        <w:rPr>
          <w:rFonts w:hint="eastAsia" w:ascii="Times New Roman" w:hAnsi="宋体" w:eastAsia="宋体" w:cs="宋体"/>
          <w:kern w:val="2"/>
          <w:sz w:val="24"/>
          <w:szCs w:val="24"/>
          <w:lang w:val="en-US" w:eastAsia="zh-CN" w:bidi="ar"/>
        </w:rPr>
        <w:t>：医疗设备配置清单</w:t>
      </w:r>
    </w:p>
    <w:tbl>
      <w:tblPr>
        <w:tblStyle w:val="7"/>
        <w:tblpPr w:leftFromText="180" w:rightFromText="180" w:vertAnchor="text" w:horzAnchor="page" w:tblpXSpec="center" w:tblpY="187"/>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093"/>
        <w:gridCol w:w="2519"/>
        <w:gridCol w:w="2754"/>
        <w:gridCol w:w="1466"/>
      </w:tblGrid>
      <w:tr w14:paraId="1921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1" w:hRule="atLeast"/>
        </w:trPr>
        <w:tc>
          <w:tcPr>
            <w:tcW w:w="2094" w:type="dxa"/>
            <w:tcBorders>
              <w:top w:val="single" w:color="auto" w:sz="4" w:space="0"/>
              <w:left w:val="single" w:color="auto" w:sz="4" w:space="0"/>
              <w:bottom w:val="single" w:color="auto" w:sz="4" w:space="0"/>
              <w:right w:val="single" w:color="auto" w:sz="4" w:space="0"/>
            </w:tcBorders>
            <w:shd w:val="clear"/>
            <w:vAlign w:val="center"/>
          </w:tcPr>
          <w:p w14:paraId="49FEED00">
            <w:pPr>
              <w:keepNext w:val="0"/>
              <w:keepLines w:val="0"/>
              <w:widowControl w:val="0"/>
              <w:suppressLineNumbers w:val="0"/>
              <w:spacing w:before="0" w:beforeAutospacing="0" w:after="0" w:afterAutospacing="0" w:line="400" w:lineRule="exact"/>
              <w:ind w:left="0" w:right="0"/>
              <w:jc w:val="center"/>
              <w:rPr>
                <w:b/>
                <w:bCs w:val="0"/>
                <w:sz w:val="22"/>
                <w:szCs w:val="24"/>
                <w:bdr w:val="none" w:color="auto" w:sz="0" w:space="0"/>
                <w:lang w:val="en-US"/>
              </w:rPr>
            </w:pPr>
            <w:r>
              <w:rPr>
                <w:rFonts w:hint="eastAsia" w:ascii="Times New Roman" w:hAnsi="Times New Roman" w:eastAsia="宋体" w:cs="宋体"/>
                <w:b/>
                <w:bCs w:val="0"/>
                <w:kern w:val="2"/>
                <w:sz w:val="22"/>
                <w:szCs w:val="24"/>
                <w:bdr w:val="none" w:color="auto" w:sz="0" w:space="0"/>
                <w:lang w:val="en-US" w:eastAsia="zh-CN" w:bidi="ar"/>
              </w:rPr>
              <w:t>设备名称</w:t>
            </w:r>
          </w:p>
        </w:tc>
        <w:tc>
          <w:tcPr>
            <w:tcW w:w="2520" w:type="dxa"/>
            <w:tcBorders>
              <w:top w:val="single" w:color="auto" w:sz="4" w:space="0"/>
              <w:left w:val="single" w:color="auto" w:sz="4" w:space="0"/>
              <w:bottom w:val="single" w:color="auto" w:sz="4" w:space="0"/>
              <w:right w:val="single" w:color="auto" w:sz="4" w:space="0"/>
            </w:tcBorders>
            <w:shd w:val="clear"/>
            <w:vAlign w:val="center"/>
          </w:tcPr>
          <w:p w14:paraId="33250CC9">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22"/>
                <w:szCs w:val="24"/>
                <w:bdr w:val="none" w:color="auto" w:sz="0" w:space="0"/>
                <w:lang w:val="en-US"/>
              </w:rPr>
            </w:pPr>
            <w:r>
              <w:rPr>
                <w:rFonts w:hint="eastAsia" w:ascii="宋体" w:hAnsi="宋体" w:eastAsia="宋体" w:cs="宋体"/>
                <w:b/>
                <w:bCs w:val="0"/>
                <w:kern w:val="2"/>
                <w:sz w:val="22"/>
                <w:szCs w:val="24"/>
                <w:bdr w:val="none" w:color="auto" w:sz="0" w:space="0"/>
                <w:lang w:val="en-US" w:eastAsia="zh-CN" w:bidi="ar"/>
              </w:rPr>
              <w:t>配件名称</w:t>
            </w:r>
          </w:p>
        </w:tc>
        <w:tc>
          <w:tcPr>
            <w:tcW w:w="2755" w:type="dxa"/>
            <w:tcBorders>
              <w:top w:val="single" w:color="auto" w:sz="4" w:space="0"/>
              <w:left w:val="single" w:color="auto" w:sz="4" w:space="0"/>
              <w:bottom w:val="single" w:color="auto" w:sz="4" w:space="0"/>
              <w:right w:val="single" w:color="auto" w:sz="4" w:space="0"/>
            </w:tcBorders>
            <w:shd w:val="clear"/>
            <w:vAlign w:val="center"/>
          </w:tcPr>
          <w:p w14:paraId="3E923F4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22"/>
                <w:szCs w:val="24"/>
                <w:bdr w:val="none" w:color="auto" w:sz="0" w:space="0"/>
                <w:lang w:val="en-US"/>
              </w:rPr>
            </w:pPr>
            <w:r>
              <w:rPr>
                <w:rFonts w:hint="eastAsia" w:ascii="宋体" w:hAnsi="宋体" w:eastAsia="宋体" w:cs="宋体"/>
                <w:b/>
                <w:bCs w:val="0"/>
                <w:kern w:val="2"/>
                <w:sz w:val="22"/>
                <w:szCs w:val="24"/>
                <w:bdr w:val="none" w:color="auto" w:sz="0" w:space="0"/>
                <w:lang w:val="en-US" w:eastAsia="zh-CN" w:bidi="ar"/>
              </w:rPr>
              <w:t>型号规格</w:t>
            </w:r>
          </w:p>
        </w:tc>
        <w:tc>
          <w:tcPr>
            <w:tcW w:w="1467" w:type="dxa"/>
            <w:tcBorders>
              <w:top w:val="single" w:color="auto" w:sz="4" w:space="0"/>
              <w:left w:val="single" w:color="auto" w:sz="4" w:space="0"/>
              <w:bottom w:val="single" w:color="auto" w:sz="4" w:space="0"/>
              <w:right w:val="single" w:color="auto" w:sz="4" w:space="0"/>
            </w:tcBorders>
            <w:shd w:val="clear"/>
            <w:vAlign w:val="center"/>
          </w:tcPr>
          <w:p w14:paraId="6F23A88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22"/>
                <w:szCs w:val="24"/>
                <w:bdr w:val="none" w:color="auto" w:sz="0" w:space="0"/>
                <w:lang w:val="en-US"/>
              </w:rPr>
            </w:pPr>
            <w:r>
              <w:rPr>
                <w:rFonts w:hint="eastAsia" w:ascii="宋体" w:hAnsi="宋体" w:eastAsia="宋体" w:cs="宋体"/>
                <w:b/>
                <w:bCs w:val="0"/>
                <w:kern w:val="2"/>
                <w:sz w:val="22"/>
                <w:szCs w:val="24"/>
                <w:bdr w:val="none" w:color="auto" w:sz="0" w:space="0"/>
                <w:lang w:val="en-US" w:eastAsia="zh-CN" w:bidi="ar"/>
              </w:rPr>
              <w:t>数量</w:t>
            </w:r>
          </w:p>
        </w:tc>
      </w:tr>
      <w:tr w14:paraId="783D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94" w:type="dxa"/>
            <w:vMerge w:val="restart"/>
            <w:tcBorders>
              <w:top w:val="single" w:color="auto" w:sz="4" w:space="0"/>
              <w:left w:val="single" w:color="auto" w:sz="4" w:space="0"/>
              <w:bottom w:val="single" w:color="auto" w:sz="4" w:space="0"/>
              <w:right w:val="single" w:color="auto" w:sz="4" w:space="0"/>
            </w:tcBorders>
            <w:shd w:val="clear"/>
            <w:vAlign w:val="center"/>
          </w:tcPr>
          <w:p w14:paraId="4AD20E55">
            <w:pPr>
              <w:keepNext w:val="0"/>
              <w:keepLines w:val="0"/>
              <w:widowControl w:val="0"/>
              <w:suppressLineNumbers w:val="0"/>
              <w:adjustRightInd w:val="0"/>
              <w:snapToGrid w:val="0"/>
              <w:spacing w:before="0" w:beforeAutospacing="0" w:after="0" w:afterAutospacing="0" w:line="280" w:lineRule="exact"/>
              <w:ind w:left="152" w:leftChars="-42" w:right="0" w:hanging="240" w:hangingChars="100"/>
              <w:jc w:val="both"/>
              <w:rPr>
                <w:rFonts w:hint="eastAsia" w:ascii="宋体" w:hAnsi="宋体" w:eastAsia="宋体" w:cs="宋体"/>
                <w:sz w:val="24"/>
                <w:szCs w:val="24"/>
                <w:bdr w:val="none" w:color="auto" w:sz="0" w:space="0"/>
                <w:lang w:val="en-US"/>
              </w:rPr>
            </w:pPr>
          </w:p>
        </w:tc>
        <w:tc>
          <w:tcPr>
            <w:tcW w:w="2520" w:type="dxa"/>
            <w:tcBorders>
              <w:top w:val="single" w:color="auto" w:sz="4" w:space="0"/>
              <w:left w:val="single" w:color="auto" w:sz="4" w:space="0"/>
              <w:bottom w:val="single" w:color="auto" w:sz="4" w:space="0"/>
              <w:right w:val="single" w:color="auto" w:sz="4" w:space="0"/>
            </w:tcBorders>
            <w:shd w:val="clear"/>
            <w:vAlign w:val="center"/>
          </w:tcPr>
          <w:p w14:paraId="19D83C9E">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4"/>
                <w:bdr w:val="none" w:color="auto" w:sz="0" w:space="0"/>
                <w:lang w:val="en-US"/>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14:paraId="1E6E6228">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4"/>
                <w:bdr w:val="none" w:color="auto" w:sz="0" w:space="0"/>
                <w:lang w:val="en-US"/>
              </w:rPr>
            </w:pPr>
          </w:p>
        </w:tc>
        <w:tc>
          <w:tcPr>
            <w:tcW w:w="1467" w:type="dxa"/>
            <w:tcBorders>
              <w:top w:val="single" w:color="auto" w:sz="4" w:space="0"/>
              <w:left w:val="single" w:color="auto" w:sz="4" w:space="0"/>
              <w:bottom w:val="single" w:color="auto" w:sz="4" w:space="0"/>
              <w:right w:val="single" w:color="auto" w:sz="4" w:space="0"/>
            </w:tcBorders>
            <w:shd w:val="clear"/>
            <w:vAlign w:val="center"/>
          </w:tcPr>
          <w:p w14:paraId="5AB4AEC6">
            <w:pPr>
              <w:keepNext w:val="0"/>
              <w:keepLines w:val="0"/>
              <w:widowControl w:val="0"/>
              <w:suppressLineNumbers w:val="0"/>
              <w:spacing w:before="0" w:beforeAutospacing="0" w:after="0" w:afterAutospacing="0" w:line="280" w:lineRule="exact"/>
              <w:ind w:left="0" w:right="0"/>
              <w:jc w:val="center"/>
              <w:rPr>
                <w:sz w:val="24"/>
                <w:szCs w:val="24"/>
                <w:bdr w:val="none" w:color="auto" w:sz="0" w:space="0"/>
                <w:lang w:val="en-US"/>
              </w:rPr>
            </w:pPr>
          </w:p>
        </w:tc>
      </w:tr>
      <w:tr w14:paraId="41B5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94" w:type="dxa"/>
            <w:vMerge w:val="continue"/>
            <w:tcBorders>
              <w:top w:val="single" w:color="auto" w:sz="4" w:space="0"/>
              <w:left w:val="single" w:color="auto" w:sz="4" w:space="0"/>
              <w:bottom w:val="single" w:color="auto" w:sz="4" w:space="0"/>
              <w:right w:val="single" w:color="auto" w:sz="4" w:space="0"/>
            </w:tcBorders>
            <w:shd w:val="clear"/>
            <w:vAlign w:val="center"/>
          </w:tcPr>
          <w:p w14:paraId="78BF8119">
            <w:pPr>
              <w:jc w:val="both"/>
              <w:rPr>
                <w:rFonts w:hint="default" w:ascii="Times New Roman" w:hAnsi="Times New Roman" w:cs="Times New Roman"/>
                <w:sz w:val="20"/>
                <w:szCs w:val="20"/>
              </w:rPr>
            </w:pPr>
          </w:p>
        </w:tc>
        <w:tc>
          <w:tcPr>
            <w:tcW w:w="2520" w:type="dxa"/>
            <w:tcBorders>
              <w:top w:val="single" w:color="auto" w:sz="4" w:space="0"/>
              <w:left w:val="single" w:color="auto" w:sz="4" w:space="0"/>
              <w:bottom w:val="single" w:color="auto" w:sz="4" w:space="0"/>
              <w:right w:val="single" w:color="auto" w:sz="4" w:space="0"/>
            </w:tcBorders>
            <w:shd w:val="clear"/>
            <w:vAlign w:val="center"/>
          </w:tcPr>
          <w:p w14:paraId="47775B9E">
            <w:pPr>
              <w:keepNext w:val="0"/>
              <w:keepLines w:val="0"/>
              <w:widowControl w:val="0"/>
              <w:suppressLineNumbers w:val="0"/>
              <w:spacing w:before="0" w:beforeAutospacing="0" w:after="0" w:afterAutospacing="0"/>
              <w:ind w:left="0" w:right="0" w:firstLine="440" w:firstLineChars="200"/>
              <w:jc w:val="both"/>
              <w:rPr>
                <w:rFonts w:hint="eastAsia" w:ascii="宋体" w:hAnsi="宋体" w:eastAsia="宋体" w:cs="宋体"/>
                <w:sz w:val="22"/>
                <w:szCs w:val="24"/>
                <w:bdr w:val="none" w:color="auto" w:sz="0" w:space="0"/>
                <w:lang w:val="en-US"/>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14:paraId="7AED7657">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4"/>
                <w:bdr w:val="none" w:color="auto" w:sz="0" w:space="0"/>
                <w:lang w:val="en-US"/>
              </w:rPr>
            </w:pPr>
          </w:p>
        </w:tc>
        <w:tc>
          <w:tcPr>
            <w:tcW w:w="1467" w:type="dxa"/>
            <w:tcBorders>
              <w:top w:val="single" w:color="auto" w:sz="4" w:space="0"/>
              <w:left w:val="single" w:color="auto" w:sz="4" w:space="0"/>
              <w:bottom w:val="single" w:color="auto" w:sz="4" w:space="0"/>
              <w:right w:val="single" w:color="auto" w:sz="4" w:space="0"/>
            </w:tcBorders>
            <w:shd w:val="clear"/>
            <w:vAlign w:val="center"/>
          </w:tcPr>
          <w:p w14:paraId="2358741D">
            <w:pPr>
              <w:keepNext w:val="0"/>
              <w:keepLines w:val="0"/>
              <w:widowControl w:val="0"/>
              <w:suppressLineNumbers w:val="0"/>
              <w:spacing w:before="0" w:beforeAutospacing="0" w:after="0" w:afterAutospacing="0" w:line="280" w:lineRule="exact"/>
              <w:ind w:left="0" w:right="0"/>
              <w:jc w:val="center"/>
              <w:rPr>
                <w:sz w:val="24"/>
                <w:szCs w:val="24"/>
                <w:bdr w:val="none" w:color="auto" w:sz="0" w:space="0"/>
                <w:lang w:val="en-US"/>
              </w:rPr>
            </w:pPr>
          </w:p>
        </w:tc>
      </w:tr>
      <w:tr w14:paraId="59FA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94" w:type="dxa"/>
            <w:vMerge w:val="continue"/>
            <w:tcBorders>
              <w:top w:val="single" w:color="auto" w:sz="4" w:space="0"/>
              <w:left w:val="single" w:color="auto" w:sz="4" w:space="0"/>
              <w:bottom w:val="single" w:color="auto" w:sz="4" w:space="0"/>
              <w:right w:val="single" w:color="auto" w:sz="4" w:space="0"/>
            </w:tcBorders>
            <w:shd w:val="clear"/>
            <w:vAlign w:val="center"/>
          </w:tcPr>
          <w:p w14:paraId="3DF9EA5A">
            <w:pPr>
              <w:jc w:val="both"/>
              <w:rPr>
                <w:rFonts w:hint="default" w:ascii="Times New Roman" w:hAnsi="Times New Roman" w:cs="Times New Roman"/>
                <w:sz w:val="20"/>
                <w:szCs w:val="20"/>
              </w:rPr>
            </w:pPr>
          </w:p>
        </w:tc>
        <w:tc>
          <w:tcPr>
            <w:tcW w:w="2520" w:type="dxa"/>
            <w:tcBorders>
              <w:top w:val="single" w:color="auto" w:sz="4" w:space="0"/>
              <w:left w:val="single" w:color="auto" w:sz="4" w:space="0"/>
              <w:bottom w:val="single" w:color="auto" w:sz="4" w:space="0"/>
              <w:right w:val="single" w:color="auto" w:sz="4" w:space="0"/>
            </w:tcBorders>
            <w:shd w:val="clear"/>
            <w:vAlign w:val="center"/>
          </w:tcPr>
          <w:p w14:paraId="071C3FB1">
            <w:pPr>
              <w:keepNext w:val="0"/>
              <w:keepLines w:val="0"/>
              <w:widowControl w:val="0"/>
              <w:suppressLineNumbers w:val="0"/>
              <w:spacing w:before="0" w:beforeAutospacing="0" w:after="0" w:afterAutospacing="0"/>
              <w:ind w:left="0" w:right="0" w:firstLine="480" w:firstLineChars="200"/>
              <w:jc w:val="both"/>
              <w:rPr>
                <w:sz w:val="24"/>
                <w:szCs w:val="24"/>
                <w:bdr w:val="none" w:color="auto" w:sz="0" w:space="0"/>
                <w:lang w:val="en-US"/>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14:paraId="13E656A1">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4"/>
                <w:bdr w:val="none" w:color="auto" w:sz="0" w:space="0"/>
                <w:lang w:val="en-US"/>
              </w:rPr>
            </w:pPr>
          </w:p>
        </w:tc>
        <w:tc>
          <w:tcPr>
            <w:tcW w:w="1467" w:type="dxa"/>
            <w:tcBorders>
              <w:top w:val="single" w:color="auto" w:sz="4" w:space="0"/>
              <w:left w:val="single" w:color="auto" w:sz="4" w:space="0"/>
              <w:bottom w:val="single" w:color="auto" w:sz="4" w:space="0"/>
              <w:right w:val="single" w:color="auto" w:sz="4" w:space="0"/>
            </w:tcBorders>
            <w:shd w:val="clear"/>
            <w:vAlign w:val="center"/>
          </w:tcPr>
          <w:p w14:paraId="30BF6905">
            <w:pPr>
              <w:keepNext w:val="0"/>
              <w:keepLines w:val="0"/>
              <w:widowControl w:val="0"/>
              <w:suppressLineNumbers w:val="0"/>
              <w:spacing w:before="0" w:beforeAutospacing="0" w:after="0" w:afterAutospacing="0" w:line="280" w:lineRule="exact"/>
              <w:ind w:left="0" w:right="0"/>
              <w:jc w:val="center"/>
              <w:rPr>
                <w:sz w:val="24"/>
                <w:szCs w:val="24"/>
                <w:bdr w:val="none" w:color="auto" w:sz="0" w:space="0"/>
                <w:lang w:val="en-US"/>
              </w:rPr>
            </w:pPr>
          </w:p>
        </w:tc>
      </w:tr>
      <w:tr w14:paraId="6A33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94" w:type="dxa"/>
            <w:vMerge w:val="continue"/>
            <w:tcBorders>
              <w:top w:val="single" w:color="auto" w:sz="4" w:space="0"/>
              <w:left w:val="single" w:color="auto" w:sz="4" w:space="0"/>
              <w:bottom w:val="single" w:color="auto" w:sz="4" w:space="0"/>
              <w:right w:val="single" w:color="auto" w:sz="4" w:space="0"/>
            </w:tcBorders>
            <w:shd w:val="clear"/>
            <w:vAlign w:val="center"/>
          </w:tcPr>
          <w:p w14:paraId="2DC92622">
            <w:pPr>
              <w:jc w:val="both"/>
              <w:rPr>
                <w:rFonts w:hint="default" w:ascii="Times New Roman" w:hAnsi="Times New Roman" w:cs="Times New Roman"/>
                <w:sz w:val="20"/>
                <w:szCs w:val="20"/>
              </w:rPr>
            </w:pPr>
          </w:p>
        </w:tc>
        <w:tc>
          <w:tcPr>
            <w:tcW w:w="2520" w:type="dxa"/>
            <w:tcBorders>
              <w:top w:val="single" w:color="auto" w:sz="4" w:space="0"/>
              <w:left w:val="single" w:color="auto" w:sz="4" w:space="0"/>
              <w:bottom w:val="single" w:color="auto" w:sz="4" w:space="0"/>
              <w:right w:val="single" w:color="auto" w:sz="4" w:space="0"/>
            </w:tcBorders>
            <w:shd w:val="clear"/>
            <w:vAlign w:val="center"/>
          </w:tcPr>
          <w:p w14:paraId="515B1601">
            <w:pPr>
              <w:keepNext w:val="0"/>
              <w:keepLines w:val="0"/>
              <w:widowControl w:val="0"/>
              <w:suppressLineNumbers w:val="0"/>
              <w:spacing w:before="0" w:beforeAutospacing="0" w:after="0" w:afterAutospacing="0"/>
              <w:ind w:left="0" w:right="0" w:firstLine="480" w:firstLineChars="200"/>
              <w:jc w:val="both"/>
              <w:rPr>
                <w:sz w:val="24"/>
                <w:szCs w:val="24"/>
                <w:bdr w:val="none" w:color="auto" w:sz="0" w:space="0"/>
                <w:lang w:val="en-US"/>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14:paraId="345D3A7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4"/>
                <w:bdr w:val="none" w:color="auto" w:sz="0" w:space="0"/>
                <w:lang w:val="en-US"/>
              </w:rPr>
            </w:pPr>
          </w:p>
        </w:tc>
        <w:tc>
          <w:tcPr>
            <w:tcW w:w="1467" w:type="dxa"/>
            <w:tcBorders>
              <w:top w:val="single" w:color="auto" w:sz="4" w:space="0"/>
              <w:left w:val="single" w:color="auto" w:sz="4" w:space="0"/>
              <w:bottom w:val="single" w:color="auto" w:sz="4" w:space="0"/>
              <w:right w:val="single" w:color="auto" w:sz="4" w:space="0"/>
            </w:tcBorders>
            <w:shd w:val="clear"/>
            <w:vAlign w:val="center"/>
          </w:tcPr>
          <w:p w14:paraId="5AE93F6A">
            <w:pPr>
              <w:keepNext w:val="0"/>
              <w:keepLines w:val="0"/>
              <w:widowControl w:val="0"/>
              <w:suppressLineNumbers w:val="0"/>
              <w:spacing w:before="0" w:beforeAutospacing="0" w:after="0" w:afterAutospacing="0" w:line="280" w:lineRule="exact"/>
              <w:ind w:left="0" w:right="0"/>
              <w:jc w:val="center"/>
              <w:rPr>
                <w:sz w:val="24"/>
                <w:szCs w:val="24"/>
                <w:bdr w:val="none" w:color="auto" w:sz="0" w:space="0"/>
                <w:lang w:val="en-US"/>
              </w:rPr>
            </w:pPr>
          </w:p>
        </w:tc>
      </w:tr>
    </w:tbl>
    <w:p w14:paraId="5233675F">
      <w:pPr>
        <w:keepNext w:val="0"/>
        <w:keepLines w:val="0"/>
        <w:widowControl/>
        <w:suppressLineNumbers w:val="0"/>
        <w:spacing w:before="0" w:beforeAutospacing="0" w:after="0" w:afterAutospacing="0"/>
        <w:ind w:left="0" w:right="0" w:firstLine="4620" w:firstLineChars="1650"/>
        <w:jc w:val="left"/>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（本合同配置以招投标文件为准）</w:t>
      </w:r>
    </w:p>
    <w:p w14:paraId="7DADE577"/>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203" w:usb1="288F0000" w:usb2="00000006" w:usb3="00000000" w:csb0="00040001" w:csb1="00000000"/>
  </w:font>
  <w:font w:name="@黑体">
    <w:panose1 w:val="02010600030101010101"/>
    <w:charset w:val="86"/>
    <w:family w:val="auto"/>
    <w:pitch w:val="fixed"/>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DYzZGZjZmE5NDNiZDU0NWNmNzBkMWRiMjM2NDUifQ=="/>
  </w:docVars>
  <w:rsids>
    <w:rsidRoot w:val="00000000"/>
    <w:rsid w:val="4643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1"/>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3">
    <w:name w:val="Plain Text"/>
    <w:basedOn w:val="1"/>
    <w:link w:val="9"/>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4">
    <w:name w:val="footer"/>
    <w:basedOn w:val="1"/>
    <w:link w:val="10"/>
    <w:uiPriority w:val="0"/>
    <w:pPr>
      <w:tabs>
        <w:tab w:val="center" w:pos="4153"/>
        <w:tab w:val="right" w:pos="8306"/>
      </w:tabs>
      <w:snapToGrid w:val="0"/>
      <w:jc w:val="left"/>
    </w:pPr>
    <w:rPr>
      <w:sz w:val="18"/>
    </w:rPr>
  </w:style>
  <w:style w:type="paragraph" w:styleId="5">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纯文本 Char"/>
    <w:basedOn w:val="8"/>
    <w:link w:val="3"/>
    <w:uiPriority w:val="0"/>
    <w:rPr>
      <w:rFonts w:hint="eastAsia" w:ascii="宋体" w:hAnsi="Courier New" w:eastAsia="宋体" w:cs="宋体"/>
      <w:kern w:val="2"/>
      <w:sz w:val="21"/>
      <w:szCs w:val="21"/>
    </w:rPr>
  </w:style>
  <w:style w:type="character" w:customStyle="1" w:styleId="10">
    <w:name w:val="页脚 Char"/>
    <w:basedOn w:val="8"/>
    <w:link w:val="4"/>
    <w:uiPriority w:val="0"/>
    <w:rPr>
      <w:kern w:val="2"/>
      <w:sz w:val="18"/>
      <w:szCs w:val="18"/>
    </w:rPr>
  </w:style>
  <w:style w:type="character" w:customStyle="1" w:styleId="11">
    <w:name w:val="正文文本 Char"/>
    <w:basedOn w:val="8"/>
    <w:link w:val="2"/>
    <w:uiPriority w:val="0"/>
    <w:rPr>
      <w:kern w:val="2"/>
      <w:sz w:val="21"/>
      <w:szCs w:val="24"/>
    </w:rPr>
  </w:style>
  <w:style w:type="character" w:customStyle="1" w:styleId="12">
    <w:name w:val="页眉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Raina</cp:lastModifiedBy>
  <dcterms:modified xsi:type="dcterms:W3CDTF">2024-10-29T08:45:47Z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5C498D464A10474B84EB8CE54704B1A1_12</vt:lpwstr>
  </property>
</Properties>
</file>