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FAF73">
      <w:pPr>
        <w:rPr>
          <w:rFonts w:hint="default"/>
          <w:highlight w:val="none"/>
          <w:lang w:val="en-US" w:eastAsia="zh-CN"/>
        </w:rPr>
      </w:pPr>
      <w:r>
        <w:rPr>
          <w:rFonts w:hint="eastAsia"/>
          <w:highlight w:val="none"/>
          <w:lang w:val="en-US" w:eastAsia="zh-CN"/>
        </w:rPr>
        <w:t>项目名称：中文数据库服务采购项目</w:t>
      </w:r>
    </w:p>
    <w:p w14:paraId="4C339214">
      <w:pPr>
        <w:rPr>
          <w:rFonts w:hint="eastAsia"/>
          <w:lang w:val="en-US" w:eastAsia="zh-CN"/>
        </w:rPr>
      </w:pPr>
    </w:p>
    <w:p w14:paraId="49A75909">
      <w:pPr>
        <w:rPr>
          <w:rFonts w:hint="eastAsia"/>
          <w:lang w:val="en-US" w:eastAsia="zh-CN"/>
        </w:rPr>
      </w:pPr>
    </w:p>
    <w:p w14:paraId="6397E285">
      <w:pPr>
        <w:rPr>
          <w:rFonts w:hint="eastAsia"/>
          <w:lang w:val="en-US" w:eastAsia="zh-CN"/>
        </w:rPr>
      </w:pPr>
      <w:r>
        <w:rPr>
          <w:rFonts w:hint="eastAsia"/>
          <w:lang w:val="en-US" w:eastAsia="zh-CN"/>
        </w:rPr>
        <w:t>包号1</w:t>
      </w:r>
    </w:p>
    <w:p w14:paraId="44BA8007">
      <w:pPr>
        <w:rPr>
          <w:rFonts w:hint="eastAsia"/>
          <w:lang w:val="en-US" w:eastAsia="zh-CN"/>
        </w:rPr>
      </w:pPr>
      <w:r>
        <w:rPr>
          <w:rFonts w:hint="eastAsia"/>
          <w:lang w:val="en-US" w:eastAsia="zh-CN"/>
        </w:rPr>
        <w:t>标的名称：学科保障类数据库</w:t>
      </w:r>
    </w:p>
    <w:tbl>
      <w:tblPr>
        <w:tblStyle w:val="5"/>
        <w:tblpPr w:leftFromText="180" w:rightFromText="180" w:vertAnchor="page" w:horzAnchor="page" w:tblpX="1826" w:tblpY="30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4050"/>
        <w:gridCol w:w="465"/>
        <w:gridCol w:w="541"/>
        <w:gridCol w:w="1218"/>
        <w:gridCol w:w="1218"/>
      </w:tblGrid>
      <w:tr w14:paraId="3021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1799E6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ascii="宋体" w:hAnsi="宋体" w:eastAsia="宋体" w:cs="宋体"/>
                <w:b/>
                <w:sz w:val="21"/>
                <w:szCs w:val="21"/>
                <w:vertAlign w:val="baseline"/>
                <w:lang w:val="en-US" w:eastAsia="zh-CN"/>
              </w:rPr>
              <w:t>包号</w:t>
            </w:r>
          </w:p>
        </w:tc>
        <w:tc>
          <w:tcPr>
            <w:tcW w:w="4050" w:type="dxa"/>
            <w:vAlign w:val="center"/>
          </w:tcPr>
          <w:p w14:paraId="528C07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ascii="宋体" w:hAnsi="宋体" w:eastAsia="宋体" w:cs="宋体"/>
                <w:b/>
                <w:sz w:val="21"/>
                <w:szCs w:val="21"/>
                <w:vertAlign w:val="baseline"/>
                <w:lang w:val="en-US" w:eastAsia="zh-CN"/>
              </w:rPr>
              <w:t>标的名称</w:t>
            </w:r>
          </w:p>
        </w:tc>
        <w:tc>
          <w:tcPr>
            <w:tcW w:w="465" w:type="dxa"/>
            <w:vAlign w:val="center"/>
          </w:tcPr>
          <w:p w14:paraId="040827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ascii="宋体" w:hAnsi="宋体" w:eastAsia="宋体" w:cs="宋体"/>
                <w:b/>
                <w:sz w:val="21"/>
                <w:szCs w:val="21"/>
                <w:vertAlign w:val="baseline"/>
                <w:lang w:val="en-US" w:eastAsia="zh-CN"/>
              </w:rPr>
              <w:t>数量</w:t>
            </w:r>
          </w:p>
        </w:tc>
        <w:tc>
          <w:tcPr>
            <w:tcW w:w="541" w:type="dxa"/>
            <w:vAlign w:val="center"/>
          </w:tcPr>
          <w:p w14:paraId="707243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ascii="宋体" w:hAnsi="宋体" w:eastAsia="宋体" w:cs="宋体"/>
                <w:b/>
                <w:sz w:val="21"/>
                <w:szCs w:val="21"/>
                <w:vertAlign w:val="baseline"/>
                <w:lang w:val="en-US" w:eastAsia="zh-CN"/>
              </w:rPr>
              <w:t>单位</w:t>
            </w:r>
          </w:p>
        </w:tc>
        <w:tc>
          <w:tcPr>
            <w:tcW w:w="1218" w:type="dxa"/>
            <w:vAlign w:val="center"/>
          </w:tcPr>
          <w:p w14:paraId="7D968C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ascii="宋体" w:hAnsi="宋体" w:eastAsia="宋体" w:cs="宋体"/>
                <w:b/>
                <w:sz w:val="21"/>
                <w:szCs w:val="21"/>
                <w:vertAlign w:val="baseline"/>
                <w:lang w:val="en-US" w:eastAsia="zh-CN"/>
              </w:rPr>
              <w:t>单价（元）</w:t>
            </w:r>
          </w:p>
        </w:tc>
        <w:tc>
          <w:tcPr>
            <w:tcW w:w="1218" w:type="dxa"/>
            <w:vAlign w:val="center"/>
          </w:tcPr>
          <w:p w14:paraId="58233A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ascii="宋体" w:hAnsi="宋体" w:eastAsia="宋体" w:cs="宋体"/>
                <w:b/>
                <w:sz w:val="21"/>
                <w:szCs w:val="21"/>
                <w:vertAlign w:val="baseline"/>
                <w:lang w:val="en-US" w:eastAsia="zh-CN"/>
              </w:rPr>
              <w:t>总价（元）</w:t>
            </w:r>
          </w:p>
        </w:tc>
      </w:tr>
      <w:tr w14:paraId="1695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5AFCB98A">
            <w:pPr>
              <w:jc w:val="center"/>
              <w:rPr>
                <w:rFonts w:hint="eastAsia" w:eastAsiaTheme="minorEastAsia"/>
                <w:vertAlign w:val="baseline"/>
                <w:lang w:val="en-US" w:eastAsia="zh-CN"/>
              </w:rPr>
            </w:pPr>
            <w:r>
              <w:rPr>
                <w:rFonts w:hint="eastAsia"/>
                <w:vertAlign w:val="baseline"/>
                <w:lang w:val="en-US" w:eastAsia="zh-CN"/>
              </w:rPr>
              <w:t>1</w:t>
            </w:r>
          </w:p>
        </w:tc>
        <w:tc>
          <w:tcPr>
            <w:tcW w:w="4050" w:type="dxa"/>
            <w:vAlign w:val="center"/>
          </w:tcPr>
          <w:p w14:paraId="6E0DE6D9">
            <w:pPr>
              <w:jc w:val="center"/>
              <w:rPr>
                <w:vertAlign w:val="baseline"/>
              </w:rPr>
            </w:pPr>
            <w:r>
              <w:rPr>
                <w:rFonts w:hint="eastAsia" w:ascii="宋体" w:hAnsi="宋体" w:eastAsia="宋体" w:cs="宋体"/>
                <w:b w:val="0"/>
                <w:bCs w:val="0"/>
                <w:color w:val="auto"/>
                <w:sz w:val="21"/>
                <w:szCs w:val="21"/>
                <w:highlight w:val="none"/>
                <w:lang w:val="en-US" w:eastAsia="zh-CN"/>
              </w:rPr>
              <w:t>中国知识资源总库（2024本地镜像模式）</w:t>
            </w:r>
          </w:p>
        </w:tc>
        <w:tc>
          <w:tcPr>
            <w:tcW w:w="465" w:type="dxa"/>
            <w:vAlign w:val="center"/>
          </w:tcPr>
          <w:p w14:paraId="0A8B2A6D">
            <w:pPr>
              <w:jc w:val="center"/>
              <w:rPr>
                <w:rFonts w:hint="eastAsia" w:eastAsiaTheme="minorEastAsia"/>
                <w:vertAlign w:val="baseline"/>
                <w:lang w:val="en-US" w:eastAsia="zh-CN"/>
              </w:rPr>
            </w:pPr>
            <w:r>
              <w:rPr>
                <w:rFonts w:hint="eastAsia"/>
                <w:vertAlign w:val="baseline"/>
                <w:lang w:val="en-US" w:eastAsia="zh-CN"/>
              </w:rPr>
              <w:t>1</w:t>
            </w:r>
          </w:p>
        </w:tc>
        <w:tc>
          <w:tcPr>
            <w:tcW w:w="541" w:type="dxa"/>
            <w:vAlign w:val="center"/>
          </w:tcPr>
          <w:p w14:paraId="5593D405">
            <w:pPr>
              <w:jc w:val="center"/>
              <w:rPr>
                <w:rFonts w:hint="eastAsia" w:eastAsiaTheme="minorEastAsia"/>
                <w:vertAlign w:val="baseline"/>
                <w:lang w:val="en-US" w:eastAsia="zh-CN"/>
              </w:rPr>
            </w:pPr>
            <w:r>
              <w:rPr>
                <w:rFonts w:hint="eastAsia"/>
                <w:vertAlign w:val="baseline"/>
                <w:lang w:val="en-US" w:eastAsia="zh-CN"/>
              </w:rPr>
              <w:t>项</w:t>
            </w:r>
          </w:p>
        </w:tc>
        <w:tc>
          <w:tcPr>
            <w:tcW w:w="1218" w:type="dxa"/>
            <w:vAlign w:val="center"/>
          </w:tcPr>
          <w:p w14:paraId="1EEC3BEB">
            <w:pPr>
              <w:jc w:val="center"/>
              <w:rPr>
                <w:rFonts w:hint="default" w:eastAsiaTheme="minorEastAsia"/>
                <w:vertAlign w:val="baseline"/>
                <w:lang w:val="en-US" w:eastAsia="zh-CN"/>
              </w:rPr>
            </w:pPr>
            <w:r>
              <w:rPr>
                <w:rFonts w:hint="eastAsia"/>
                <w:vertAlign w:val="baseline"/>
                <w:lang w:val="en-US" w:eastAsia="zh-CN"/>
              </w:rPr>
              <w:t>600000</w:t>
            </w:r>
          </w:p>
        </w:tc>
        <w:tc>
          <w:tcPr>
            <w:tcW w:w="1218" w:type="dxa"/>
            <w:vAlign w:val="center"/>
          </w:tcPr>
          <w:p w14:paraId="2E0549F0">
            <w:pPr>
              <w:jc w:val="center"/>
              <w:rPr>
                <w:rFonts w:hint="default" w:eastAsiaTheme="minorEastAsia"/>
                <w:vertAlign w:val="baseline"/>
                <w:lang w:val="en-US" w:eastAsia="zh-CN"/>
              </w:rPr>
            </w:pPr>
            <w:r>
              <w:rPr>
                <w:rFonts w:hint="eastAsia"/>
                <w:vertAlign w:val="baseline"/>
                <w:lang w:val="en-US" w:eastAsia="zh-CN"/>
              </w:rPr>
              <w:t>600000</w:t>
            </w:r>
          </w:p>
        </w:tc>
      </w:tr>
      <w:tr w14:paraId="3BB2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4477D925">
            <w:pPr>
              <w:jc w:val="center"/>
              <w:rPr>
                <w:rFonts w:hint="default" w:eastAsiaTheme="minorEastAsia"/>
                <w:vertAlign w:val="baseline"/>
                <w:lang w:val="en-US" w:eastAsia="zh-CN"/>
              </w:rPr>
            </w:pPr>
            <w:r>
              <w:rPr>
                <w:rFonts w:hint="eastAsia"/>
                <w:vertAlign w:val="baseline"/>
                <w:lang w:val="en-US" w:eastAsia="zh-CN"/>
              </w:rPr>
              <w:t>2</w:t>
            </w:r>
          </w:p>
        </w:tc>
        <w:tc>
          <w:tcPr>
            <w:tcW w:w="4050" w:type="dxa"/>
            <w:vAlign w:val="center"/>
          </w:tcPr>
          <w:p w14:paraId="22C49701">
            <w:pPr>
              <w:jc w:val="both"/>
              <w:rPr>
                <w:vertAlign w:val="baseline"/>
              </w:rPr>
            </w:pPr>
            <w:r>
              <w:rPr>
                <w:rFonts w:hint="eastAsia" w:ascii="宋体" w:hAnsi="宋体" w:eastAsia="宋体" w:cs="宋体"/>
                <w:sz w:val="21"/>
                <w:szCs w:val="21"/>
              </w:rPr>
              <w:t>工程科技数字图书馆</w:t>
            </w:r>
          </w:p>
        </w:tc>
        <w:tc>
          <w:tcPr>
            <w:tcW w:w="465" w:type="dxa"/>
            <w:vAlign w:val="center"/>
          </w:tcPr>
          <w:p w14:paraId="1EE4EA43">
            <w:pPr>
              <w:jc w:val="center"/>
              <w:rPr>
                <w:rFonts w:hint="eastAsia" w:eastAsiaTheme="minorEastAsia"/>
                <w:vertAlign w:val="baseline"/>
                <w:lang w:val="en-US" w:eastAsia="zh-CN"/>
              </w:rPr>
            </w:pPr>
            <w:r>
              <w:rPr>
                <w:rFonts w:hint="eastAsia"/>
                <w:vertAlign w:val="baseline"/>
                <w:lang w:val="en-US" w:eastAsia="zh-CN"/>
              </w:rPr>
              <w:t>1</w:t>
            </w:r>
          </w:p>
        </w:tc>
        <w:tc>
          <w:tcPr>
            <w:tcW w:w="541" w:type="dxa"/>
            <w:vAlign w:val="center"/>
          </w:tcPr>
          <w:p w14:paraId="3961F2DF">
            <w:pPr>
              <w:jc w:val="center"/>
              <w:rPr>
                <w:vertAlign w:val="baseline"/>
              </w:rPr>
            </w:pPr>
            <w:r>
              <w:rPr>
                <w:rFonts w:hint="eastAsia"/>
                <w:vertAlign w:val="baseline"/>
                <w:lang w:val="en-US" w:eastAsia="zh-CN"/>
              </w:rPr>
              <w:t>项</w:t>
            </w:r>
          </w:p>
        </w:tc>
        <w:tc>
          <w:tcPr>
            <w:tcW w:w="1218" w:type="dxa"/>
            <w:vAlign w:val="center"/>
          </w:tcPr>
          <w:p w14:paraId="4A9DEB37">
            <w:pPr>
              <w:jc w:val="center"/>
              <w:rPr>
                <w:rFonts w:hint="default" w:eastAsiaTheme="minorEastAsia"/>
                <w:vertAlign w:val="baseline"/>
                <w:lang w:val="en-US" w:eastAsia="zh-CN"/>
              </w:rPr>
            </w:pPr>
            <w:r>
              <w:rPr>
                <w:rFonts w:hint="eastAsia"/>
                <w:vertAlign w:val="baseline"/>
                <w:lang w:val="en-US" w:eastAsia="zh-CN"/>
              </w:rPr>
              <w:t>100000</w:t>
            </w:r>
          </w:p>
        </w:tc>
        <w:tc>
          <w:tcPr>
            <w:tcW w:w="1218" w:type="dxa"/>
            <w:vAlign w:val="center"/>
          </w:tcPr>
          <w:p w14:paraId="3B7926EC">
            <w:pPr>
              <w:jc w:val="center"/>
              <w:rPr>
                <w:rFonts w:hint="default" w:eastAsiaTheme="minorEastAsia"/>
                <w:vertAlign w:val="baseline"/>
                <w:lang w:val="en-US" w:eastAsia="zh-CN"/>
              </w:rPr>
            </w:pPr>
            <w:r>
              <w:rPr>
                <w:rFonts w:hint="eastAsia"/>
                <w:vertAlign w:val="baseline"/>
                <w:lang w:val="en-US" w:eastAsia="zh-CN"/>
              </w:rPr>
              <w:t>100000</w:t>
            </w:r>
          </w:p>
        </w:tc>
      </w:tr>
      <w:tr w14:paraId="60EA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4" w:type="dxa"/>
            <w:gridSpan w:val="5"/>
            <w:vAlign w:val="center"/>
          </w:tcPr>
          <w:p w14:paraId="17DF4690">
            <w:pPr>
              <w:jc w:val="center"/>
              <w:rPr>
                <w:rFonts w:hint="eastAsia"/>
                <w:vertAlign w:val="baseline"/>
                <w:lang w:val="en-US" w:eastAsia="zh-CN"/>
              </w:rPr>
            </w:pPr>
          </w:p>
        </w:tc>
        <w:tc>
          <w:tcPr>
            <w:tcW w:w="1218" w:type="dxa"/>
            <w:vAlign w:val="center"/>
          </w:tcPr>
          <w:p w14:paraId="2F92664F">
            <w:pPr>
              <w:jc w:val="center"/>
              <w:rPr>
                <w:rFonts w:hint="default"/>
                <w:vertAlign w:val="baseline"/>
                <w:lang w:val="en-US" w:eastAsia="zh-CN"/>
              </w:rPr>
            </w:pPr>
            <w:r>
              <w:rPr>
                <w:rFonts w:hint="eastAsia"/>
                <w:vertAlign w:val="baseline"/>
                <w:lang w:val="en-US" w:eastAsia="zh-CN"/>
              </w:rPr>
              <w:t>700000</w:t>
            </w:r>
          </w:p>
        </w:tc>
      </w:tr>
    </w:tbl>
    <w:p w14:paraId="4D081DFA">
      <w:pPr>
        <w:rPr>
          <w:rFonts w:hint="eastAsia"/>
          <w:lang w:val="en-US" w:eastAsia="zh-CN"/>
        </w:rPr>
      </w:pPr>
      <w:r>
        <w:rPr>
          <w:rFonts w:hint="eastAsia"/>
          <w:lang w:val="en-US" w:eastAsia="zh-CN"/>
        </w:rPr>
        <w:t>包号2</w:t>
      </w:r>
    </w:p>
    <w:p w14:paraId="6107A614">
      <w:pPr>
        <w:rPr>
          <w:rFonts w:hint="eastAsia"/>
          <w:lang w:val="en-US" w:eastAsia="zh-CN"/>
        </w:rPr>
      </w:pPr>
      <w:r>
        <w:rPr>
          <w:rFonts w:hint="eastAsia"/>
          <w:lang w:val="en-US" w:eastAsia="zh-CN"/>
        </w:rPr>
        <w:t>标的名称：教学应用类数据库</w:t>
      </w:r>
    </w:p>
    <w:tbl>
      <w:tblPr>
        <w:tblStyle w:val="5"/>
        <w:tblpPr w:leftFromText="180" w:rightFromText="180" w:vertAnchor="page" w:horzAnchor="page" w:tblpX="1841" w:tblpY="55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540"/>
        <w:gridCol w:w="4050"/>
        <w:gridCol w:w="465"/>
        <w:gridCol w:w="541"/>
        <w:gridCol w:w="1218"/>
        <w:gridCol w:w="1218"/>
      </w:tblGrid>
      <w:tr w14:paraId="74B4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58AA5F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ascii="宋体" w:hAnsi="宋体" w:eastAsia="宋体" w:cs="宋体"/>
                <w:b/>
                <w:sz w:val="21"/>
                <w:szCs w:val="21"/>
                <w:vertAlign w:val="baseline"/>
                <w:lang w:val="en-US" w:eastAsia="zh-CN"/>
              </w:rPr>
              <w:t>包号</w:t>
            </w:r>
          </w:p>
        </w:tc>
        <w:tc>
          <w:tcPr>
            <w:tcW w:w="540" w:type="dxa"/>
            <w:vAlign w:val="center"/>
          </w:tcPr>
          <w:p w14:paraId="6B03DC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ascii="宋体" w:hAnsi="宋体" w:eastAsia="宋体" w:cs="宋体"/>
                <w:b/>
                <w:sz w:val="21"/>
                <w:szCs w:val="21"/>
                <w:vertAlign w:val="baseline"/>
                <w:lang w:val="en-US" w:eastAsia="zh-CN"/>
              </w:rPr>
              <w:t>序号</w:t>
            </w:r>
          </w:p>
        </w:tc>
        <w:tc>
          <w:tcPr>
            <w:tcW w:w="4050" w:type="dxa"/>
            <w:vAlign w:val="center"/>
          </w:tcPr>
          <w:p w14:paraId="5E85F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ascii="宋体" w:hAnsi="宋体" w:eastAsia="宋体" w:cs="宋体"/>
                <w:b/>
                <w:sz w:val="21"/>
                <w:szCs w:val="21"/>
                <w:vertAlign w:val="baseline"/>
                <w:lang w:val="en-US" w:eastAsia="zh-CN"/>
              </w:rPr>
              <w:t>名称</w:t>
            </w:r>
          </w:p>
        </w:tc>
        <w:tc>
          <w:tcPr>
            <w:tcW w:w="465" w:type="dxa"/>
            <w:vAlign w:val="center"/>
          </w:tcPr>
          <w:p w14:paraId="0A5B96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ascii="宋体" w:hAnsi="宋体" w:eastAsia="宋体" w:cs="宋体"/>
                <w:b/>
                <w:sz w:val="21"/>
                <w:szCs w:val="21"/>
                <w:vertAlign w:val="baseline"/>
                <w:lang w:val="en-US" w:eastAsia="zh-CN"/>
              </w:rPr>
              <w:t>数量</w:t>
            </w:r>
          </w:p>
        </w:tc>
        <w:tc>
          <w:tcPr>
            <w:tcW w:w="541" w:type="dxa"/>
            <w:vAlign w:val="center"/>
          </w:tcPr>
          <w:p w14:paraId="307F3E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ascii="宋体" w:hAnsi="宋体" w:eastAsia="宋体" w:cs="宋体"/>
                <w:b/>
                <w:sz w:val="21"/>
                <w:szCs w:val="21"/>
                <w:vertAlign w:val="baseline"/>
                <w:lang w:val="en-US" w:eastAsia="zh-CN"/>
              </w:rPr>
              <w:t>单位</w:t>
            </w:r>
          </w:p>
        </w:tc>
        <w:tc>
          <w:tcPr>
            <w:tcW w:w="1218" w:type="dxa"/>
            <w:vAlign w:val="center"/>
          </w:tcPr>
          <w:p w14:paraId="0D59D4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ascii="宋体" w:hAnsi="宋体" w:eastAsia="宋体" w:cs="宋体"/>
                <w:b/>
                <w:sz w:val="21"/>
                <w:szCs w:val="21"/>
                <w:vertAlign w:val="baseline"/>
                <w:lang w:val="en-US" w:eastAsia="zh-CN"/>
              </w:rPr>
              <w:t>单价（元）</w:t>
            </w:r>
          </w:p>
        </w:tc>
        <w:tc>
          <w:tcPr>
            <w:tcW w:w="1218" w:type="dxa"/>
            <w:vAlign w:val="center"/>
          </w:tcPr>
          <w:p w14:paraId="2260C7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ascii="宋体" w:hAnsi="宋体" w:eastAsia="宋体" w:cs="宋体"/>
                <w:b/>
                <w:sz w:val="21"/>
                <w:szCs w:val="21"/>
                <w:vertAlign w:val="baseline"/>
                <w:lang w:val="en-US" w:eastAsia="zh-CN"/>
              </w:rPr>
              <w:t>总价（元）</w:t>
            </w:r>
          </w:p>
        </w:tc>
      </w:tr>
      <w:tr w14:paraId="3E0F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restart"/>
            <w:vAlign w:val="center"/>
          </w:tcPr>
          <w:p w14:paraId="20D67C98">
            <w:pPr>
              <w:jc w:val="center"/>
              <w:rPr>
                <w:rFonts w:hint="eastAsia" w:eastAsiaTheme="minorEastAsia"/>
                <w:vertAlign w:val="baseline"/>
                <w:lang w:val="en-US" w:eastAsia="zh-CN"/>
              </w:rPr>
            </w:pPr>
            <w:r>
              <w:rPr>
                <w:rFonts w:hint="eastAsia"/>
                <w:vertAlign w:val="baseline"/>
                <w:lang w:val="en-US" w:eastAsia="zh-CN"/>
              </w:rPr>
              <w:t>2</w:t>
            </w:r>
          </w:p>
        </w:tc>
        <w:tc>
          <w:tcPr>
            <w:tcW w:w="540" w:type="dxa"/>
            <w:vAlign w:val="center"/>
          </w:tcPr>
          <w:p w14:paraId="0902AE36">
            <w:pPr>
              <w:jc w:val="center"/>
              <w:rPr>
                <w:rFonts w:hint="eastAsia" w:eastAsiaTheme="minorEastAsia"/>
                <w:vertAlign w:val="baseline"/>
                <w:lang w:val="en-US" w:eastAsia="zh-CN"/>
              </w:rPr>
            </w:pPr>
            <w:r>
              <w:rPr>
                <w:rFonts w:hint="eastAsia"/>
                <w:vertAlign w:val="baseline"/>
                <w:lang w:val="en-US" w:eastAsia="zh-CN"/>
              </w:rPr>
              <w:t>1</w:t>
            </w:r>
          </w:p>
        </w:tc>
        <w:tc>
          <w:tcPr>
            <w:tcW w:w="4050" w:type="dxa"/>
            <w:vAlign w:val="center"/>
          </w:tcPr>
          <w:p w14:paraId="35AD44CA">
            <w:pPr>
              <w:jc w:val="both"/>
              <w:rPr>
                <w:vertAlign w:val="baseline"/>
              </w:rPr>
            </w:pPr>
            <w:r>
              <w:rPr>
                <w:rFonts w:hint="eastAsia" w:ascii="宋体" w:hAnsi="宋体" w:eastAsia="宋体" w:cs="宋体"/>
                <w:sz w:val="21"/>
                <w:szCs w:val="21"/>
                <w:lang w:val="en-US" w:eastAsia="zh-CN"/>
              </w:rPr>
              <w:t>硕博学位论文全文数据库增强版</w:t>
            </w:r>
          </w:p>
        </w:tc>
        <w:tc>
          <w:tcPr>
            <w:tcW w:w="465" w:type="dxa"/>
            <w:vAlign w:val="center"/>
          </w:tcPr>
          <w:p w14:paraId="45C1459E">
            <w:pPr>
              <w:jc w:val="center"/>
              <w:rPr>
                <w:rFonts w:hint="eastAsia" w:eastAsiaTheme="minorEastAsia"/>
                <w:vertAlign w:val="baseline"/>
                <w:lang w:val="en-US" w:eastAsia="zh-CN"/>
              </w:rPr>
            </w:pPr>
            <w:r>
              <w:rPr>
                <w:rFonts w:hint="eastAsia"/>
                <w:vertAlign w:val="baseline"/>
                <w:lang w:val="en-US" w:eastAsia="zh-CN"/>
              </w:rPr>
              <w:t>1</w:t>
            </w:r>
          </w:p>
        </w:tc>
        <w:tc>
          <w:tcPr>
            <w:tcW w:w="541" w:type="dxa"/>
            <w:vAlign w:val="center"/>
          </w:tcPr>
          <w:p w14:paraId="5ED2198B">
            <w:pPr>
              <w:jc w:val="center"/>
              <w:rPr>
                <w:rFonts w:hint="eastAsia" w:eastAsiaTheme="minorEastAsia"/>
                <w:highlight w:val="none"/>
                <w:vertAlign w:val="baseline"/>
                <w:lang w:val="en-US" w:eastAsia="zh-CN"/>
              </w:rPr>
            </w:pPr>
            <w:r>
              <w:rPr>
                <w:rFonts w:hint="eastAsia"/>
                <w:highlight w:val="none"/>
                <w:vertAlign w:val="baseline"/>
                <w:lang w:val="en-US" w:eastAsia="zh-CN"/>
              </w:rPr>
              <w:t>项</w:t>
            </w:r>
          </w:p>
        </w:tc>
        <w:tc>
          <w:tcPr>
            <w:tcW w:w="1218" w:type="dxa"/>
            <w:vAlign w:val="center"/>
          </w:tcPr>
          <w:p w14:paraId="79865AC4">
            <w:pPr>
              <w:jc w:val="center"/>
              <w:rPr>
                <w:rFonts w:hint="default" w:eastAsiaTheme="minorEastAsia"/>
                <w:highlight w:val="none"/>
                <w:vertAlign w:val="baseline"/>
                <w:lang w:val="en-US" w:eastAsia="zh-CN"/>
              </w:rPr>
            </w:pPr>
            <w:r>
              <w:rPr>
                <w:rFonts w:hint="eastAsia" w:ascii="宋体" w:hAnsi="宋体" w:eastAsia="宋体" w:cs="宋体"/>
                <w:sz w:val="21"/>
                <w:szCs w:val="21"/>
                <w:highlight w:val="none"/>
                <w:lang w:val="en-US" w:eastAsia="zh-CN"/>
              </w:rPr>
              <w:t>130000</w:t>
            </w:r>
          </w:p>
        </w:tc>
        <w:tc>
          <w:tcPr>
            <w:tcW w:w="1218" w:type="dxa"/>
            <w:vAlign w:val="center"/>
          </w:tcPr>
          <w:p w14:paraId="2A3CD776">
            <w:pPr>
              <w:jc w:val="center"/>
              <w:rPr>
                <w:rFonts w:hint="default" w:eastAsiaTheme="minorEastAsia"/>
                <w:highlight w:val="none"/>
                <w:vertAlign w:val="baseline"/>
                <w:lang w:val="en-US" w:eastAsia="zh-CN"/>
              </w:rPr>
            </w:pPr>
            <w:r>
              <w:rPr>
                <w:rFonts w:hint="eastAsia" w:ascii="宋体" w:hAnsi="宋体" w:eastAsia="宋体" w:cs="宋体"/>
                <w:sz w:val="21"/>
                <w:szCs w:val="21"/>
                <w:highlight w:val="none"/>
                <w:lang w:val="en-US" w:eastAsia="zh-CN"/>
              </w:rPr>
              <w:t>130000</w:t>
            </w:r>
          </w:p>
        </w:tc>
      </w:tr>
      <w:tr w14:paraId="45B6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continue"/>
            <w:vAlign w:val="center"/>
          </w:tcPr>
          <w:p w14:paraId="545B6F66">
            <w:pPr>
              <w:jc w:val="center"/>
              <w:rPr>
                <w:vertAlign w:val="baseline"/>
              </w:rPr>
            </w:pPr>
          </w:p>
        </w:tc>
        <w:tc>
          <w:tcPr>
            <w:tcW w:w="540" w:type="dxa"/>
            <w:vAlign w:val="center"/>
          </w:tcPr>
          <w:p w14:paraId="24718040">
            <w:pPr>
              <w:jc w:val="center"/>
              <w:rPr>
                <w:rFonts w:hint="eastAsia" w:eastAsiaTheme="minorEastAsia"/>
                <w:vertAlign w:val="baseline"/>
                <w:lang w:val="en-US" w:eastAsia="zh-CN"/>
              </w:rPr>
            </w:pPr>
            <w:r>
              <w:rPr>
                <w:rFonts w:hint="eastAsia"/>
                <w:vertAlign w:val="baseline"/>
                <w:lang w:val="en-US" w:eastAsia="zh-CN"/>
              </w:rPr>
              <w:t>2</w:t>
            </w:r>
          </w:p>
        </w:tc>
        <w:tc>
          <w:tcPr>
            <w:tcW w:w="4050" w:type="dxa"/>
            <w:vAlign w:val="center"/>
          </w:tcPr>
          <w:p w14:paraId="4C5C8BEB">
            <w:pPr>
              <w:jc w:val="both"/>
              <w:rPr>
                <w:vertAlign w:val="baseline"/>
              </w:rPr>
            </w:pPr>
            <w:r>
              <w:rPr>
                <w:rFonts w:hint="eastAsia" w:ascii="宋体" w:hAnsi="宋体" w:eastAsia="宋体" w:cs="宋体"/>
                <w:sz w:val="21"/>
                <w:szCs w:val="21"/>
                <w:lang w:val="en-US" w:eastAsia="zh-CN"/>
              </w:rPr>
              <w:t>中外文学术文献数据库</w:t>
            </w:r>
          </w:p>
        </w:tc>
        <w:tc>
          <w:tcPr>
            <w:tcW w:w="465" w:type="dxa"/>
            <w:vAlign w:val="center"/>
          </w:tcPr>
          <w:p w14:paraId="728298CE">
            <w:pPr>
              <w:jc w:val="center"/>
              <w:rPr>
                <w:rFonts w:hint="eastAsia" w:eastAsiaTheme="minorEastAsia"/>
                <w:vertAlign w:val="baseline"/>
                <w:lang w:val="en-US" w:eastAsia="zh-CN"/>
              </w:rPr>
            </w:pPr>
            <w:r>
              <w:rPr>
                <w:rFonts w:hint="eastAsia"/>
                <w:vertAlign w:val="baseline"/>
                <w:lang w:val="en-US" w:eastAsia="zh-CN"/>
              </w:rPr>
              <w:t>1</w:t>
            </w:r>
          </w:p>
        </w:tc>
        <w:tc>
          <w:tcPr>
            <w:tcW w:w="541" w:type="dxa"/>
            <w:vAlign w:val="center"/>
          </w:tcPr>
          <w:p w14:paraId="70BC3CBA">
            <w:pPr>
              <w:jc w:val="center"/>
              <w:rPr>
                <w:vertAlign w:val="baseline"/>
              </w:rPr>
            </w:pPr>
            <w:r>
              <w:rPr>
                <w:rFonts w:hint="eastAsia"/>
                <w:vertAlign w:val="baseline"/>
                <w:lang w:val="en-US" w:eastAsia="zh-CN"/>
              </w:rPr>
              <w:t>项</w:t>
            </w:r>
          </w:p>
        </w:tc>
        <w:tc>
          <w:tcPr>
            <w:tcW w:w="1218" w:type="dxa"/>
            <w:vAlign w:val="center"/>
          </w:tcPr>
          <w:p w14:paraId="5DD6E615">
            <w:pPr>
              <w:jc w:val="center"/>
              <w:rPr>
                <w:rFonts w:hint="default" w:eastAsiaTheme="minorEastAsia"/>
                <w:vertAlign w:val="baseline"/>
                <w:lang w:val="en-US" w:eastAsia="zh-CN"/>
              </w:rPr>
            </w:pPr>
            <w:r>
              <w:rPr>
                <w:rFonts w:hint="eastAsia" w:ascii="宋体" w:hAnsi="宋体" w:eastAsia="宋体" w:cs="宋体"/>
                <w:sz w:val="21"/>
                <w:szCs w:val="21"/>
                <w:lang w:val="en-US" w:eastAsia="zh-CN"/>
              </w:rPr>
              <w:t>130000</w:t>
            </w:r>
          </w:p>
        </w:tc>
        <w:tc>
          <w:tcPr>
            <w:tcW w:w="1218" w:type="dxa"/>
            <w:vAlign w:val="center"/>
          </w:tcPr>
          <w:p w14:paraId="296D4757">
            <w:pPr>
              <w:jc w:val="center"/>
              <w:rPr>
                <w:rFonts w:hint="default" w:eastAsiaTheme="minorEastAsia"/>
                <w:vertAlign w:val="baseline"/>
                <w:lang w:val="en-US" w:eastAsia="zh-CN"/>
              </w:rPr>
            </w:pPr>
            <w:r>
              <w:rPr>
                <w:rFonts w:hint="eastAsia" w:ascii="宋体" w:hAnsi="宋体" w:eastAsia="宋体" w:cs="宋体"/>
                <w:sz w:val="21"/>
                <w:szCs w:val="21"/>
                <w:lang w:val="en-US" w:eastAsia="zh-CN"/>
              </w:rPr>
              <w:t>130000</w:t>
            </w:r>
          </w:p>
        </w:tc>
      </w:tr>
      <w:tr w14:paraId="6171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continue"/>
            <w:vAlign w:val="center"/>
          </w:tcPr>
          <w:p w14:paraId="2B3599BB">
            <w:pPr>
              <w:jc w:val="center"/>
              <w:rPr>
                <w:vertAlign w:val="baseline"/>
              </w:rPr>
            </w:pPr>
          </w:p>
        </w:tc>
        <w:tc>
          <w:tcPr>
            <w:tcW w:w="540" w:type="dxa"/>
            <w:vAlign w:val="center"/>
          </w:tcPr>
          <w:p w14:paraId="73D5F71E">
            <w:pPr>
              <w:jc w:val="center"/>
              <w:rPr>
                <w:rFonts w:hint="default"/>
                <w:vertAlign w:val="baseline"/>
                <w:lang w:val="en-US" w:eastAsia="zh-CN"/>
              </w:rPr>
            </w:pPr>
            <w:r>
              <w:rPr>
                <w:rFonts w:hint="eastAsia"/>
                <w:vertAlign w:val="baseline"/>
                <w:lang w:val="en-US" w:eastAsia="zh-CN"/>
              </w:rPr>
              <w:t>3</w:t>
            </w:r>
          </w:p>
        </w:tc>
        <w:tc>
          <w:tcPr>
            <w:tcW w:w="4050" w:type="dxa"/>
            <w:vAlign w:val="center"/>
          </w:tcPr>
          <w:p w14:paraId="4D032D4F">
            <w:pPr>
              <w:jc w:val="both"/>
              <w:rPr>
                <w:rFonts w:hint="eastAsia" w:ascii="宋体" w:hAnsi="宋体" w:eastAsia="宋体" w:cs="宋体"/>
                <w:sz w:val="21"/>
                <w:szCs w:val="21"/>
              </w:rPr>
            </w:pPr>
            <w:r>
              <w:rPr>
                <w:rFonts w:hint="eastAsia" w:ascii="宋体" w:hAnsi="宋体" w:eastAsia="宋体" w:cs="宋体"/>
                <w:sz w:val="21"/>
                <w:szCs w:val="21"/>
                <w:lang w:val="en-US" w:eastAsia="zh-CN"/>
              </w:rPr>
              <w:t>智慧服务平台</w:t>
            </w:r>
          </w:p>
        </w:tc>
        <w:tc>
          <w:tcPr>
            <w:tcW w:w="465" w:type="dxa"/>
            <w:vAlign w:val="center"/>
          </w:tcPr>
          <w:p w14:paraId="27F8A4B1">
            <w:pPr>
              <w:jc w:val="center"/>
              <w:rPr>
                <w:rFonts w:hint="eastAsia"/>
                <w:vertAlign w:val="baseline"/>
                <w:lang w:val="en-US" w:eastAsia="zh-CN"/>
              </w:rPr>
            </w:pPr>
            <w:r>
              <w:rPr>
                <w:rFonts w:hint="eastAsia"/>
                <w:vertAlign w:val="baseline"/>
                <w:lang w:val="en-US" w:eastAsia="zh-CN"/>
              </w:rPr>
              <w:t>1</w:t>
            </w:r>
          </w:p>
        </w:tc>
        <w:tc>
          <w:tcPr>
            <w:tcW w:w="541" w:type="dxa"/>
            <w:vAlign w:val="center"/>
          </w:tcPr>
          <w:p w14:paraId="37D3FC50">
            <w:pPr>
              <w:jc w:val="center"/>
              <w:rPr>
                <w:rFonts w:hint="eastAsia"/>
                <w:vertAlign w:val="baseline"/>
                <w:lang w:val="en-US" w:eastAsia="zh-CN"/>
              </w:rPr>
            </w:pPr>
            <w:r>
              <w:rPr>
                <w:rFonts w:hint="eastAsia"/>
                <w:vertAlign w:val="baseline"/>
                <w:lang w:val="en-US" w:eastAsia="zh-CN"/>
              </w:rPr>
              <w:t>项</w:t>
            </w:r>
          </w:p>
        </w:tc>
        <w:tc>
          <w:tcPr>
            <w:tcW w:w="1218" w:type="dxa"/>
            <w:vAlign w:val="center"/>
          </w:tcPr>
          <w:p w14:paraId="1B49128E">
            <w:pPr>
              <w:jc w:val="center"/>
              <w:rPr>
                <w:rFonts w:hint="eastAsia"/>
                <w:vertAlign w:val="baseline"/>
                <w:lang w:val="en-US" w:eastAsia="zh-CN"/>
              </w:rPr>
            </w:pPr>
            <w:r>
              <w:rPr>
                <w:rFonts w:hint="eastAsia" w:ascii="宋体" w:hAnsi="宋体" w:eastAsia="宋体" w:cs="宋体"/>
                <w:sz w:val="21"/>
                <w:szCs w:val="21"/>
                <w:lang w:val="en-US" w:eastAsia="zh-CN"/>
              </w:rPr>
              <w:t>120000</w:t>
            </w:r>
          </w:p>
        </w:tc>
        <w:tc>
          <w:tcPr>
            <w:tcW w:w="1218" w:type="dxa"/>
            <w:vAlign w:val="center"/>
          </w:tcPr>
          <w:p w14:paraId="4964C115">
            <w:pPr>
              <w:jc w:val="center"/>
              <w:rPr>
                <w:rFonts w:hint="eastAsia"/>
                <w:vertAlign w:val="baseline"/>
                <w:lang w:val="en-US" w:eastAsia="zh-CN"/>
              </w:rPr>
            </w:pPr>
            <w:r>
              <w:rPr>
                <w:rFonts w:hint="eastAsia" w:ascii="宋体" w:hAnsi="宋体" w:eastAsia="宋体" w:cs="宋体"/>
                <w:sz w:val="21"/>
                <w:szCs w:val="21"/>
                <w:lang w:val="en-US" w:eastAsia="zh-CN"/>
              </w:rPr>
              <w:t>120000</w:t>
            </w:r>
          </w:p>
        </w:tc>
      </w:tr>
      <w:tr w14:paraId="04E5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continue"/>
            <w:vAlign w:val="center"/>
          </w:tcPr>
          <w:p w14:paraId="7DF7DD73">
            <w:pPr>
              <w:jc w:val="center"/>
              <w:rPr>
                <w:vertAlign w:val="baseline"/>
              </w:rPr>
            </w:pPr>
          </w:p>
        </w:tc>
        <w:tc>
          <w:tcPr>
            <w:tcW w:w="540" w:type="dxa"/>
            <w:vAlign w:val="center"/>
          </w:tcPr>
          <w:p w14:paraId="7FC2D02D">
            <w:pPr>
              <w:jc w:val="center"/>
              <w:rPr>
                <w:rFonts w:hint="default"/>
                <w:vertAlign w:val="baseline"/>
                <w:lang w:val="en-US" w:eastAsia="zh-CN"/>
              </w:rPr>
            </w:pPr>
            <w:r>
              <w:rPr>
                <w:rFonts w:hint="eastAsia"/>
                <w:vertAlign w:val="baseline"/>
                <w:lang w:val="en-US" w:eastAsia="zh-CN"/>
              </w:rPr>
              <w:t>4</w:t>
            </w:r>
          </w:p>
        </w:tc>
        <w:tc>
          <w:tcPr>
            <w:tcW w:w="4050" w:type="dxa"/>
            <w:vAlign w:val="center"/>
          </w:tcPr>
          <w:p w14:paraId="4E777DAD">
            <w:pPr>
              <w:jc w:val="both"/>
              <w:rPr>
                <w:rFonts w:hint="eastAsia" w:ascii="宋体" w:hAnsi="宋体" w:eastAsia="宋体" w:cs="宋体"/>
                <w:sz w:val="21"/>
                <w:szCs w:val="21"/>
              </w:rPr>
            </w:pPr>
            <w:r>
              <w:rPr>
                <w:rFonts w:hint="eastAsia" w:ascii="宋体" w:hAnsi="宋体" w:eastAsia="宋体" w:cs="宋体"/>
                <w:sz w:val="21"/>
                <w:szCs w:val="21"/>
                <w:lang w:val="en-US" w:eastAsia="zh-CN"/>
              </w:rPr>
              <w:t xml:space="preserve">新学术外文高影响力期刊整合服务平台 </w:t>
            </w:r>
          </w:p>
        </w:tc>
        <w:tc>
          <w:tcPr>
            <w:tcW w:w="465" w:type="dxa"/>
            <w:vAlign w:val="center"/>
          </w:tcPr>
          <w:p w14:paraId="65CF1F54">
            <w:pPr>
              <w:jc w:val="center"/>
              <w:rPr>
                <w:rFonts w:hint="eastAsia"/>
                <w:vertAlign w:val="baseline"/>
                <w:lang w:val="en-US" w:eastAsia="zh-CN"/>
              </w:rPr>
            </w:pPr>
            <w:r>
              <w:rPr>
                <w:rFonts w:hint="eastAsia"/>
                <w:vertAlign w:val="baseline"/>
                <w:lang w:val="en-US" w:eastAsia="zh-CN"/>
              </w:rPr>
              <w:t>1</w:t>
            </w:r>
          </w:p>
        </w:tc>
        <w:tc>
          <w:tcPr>
            <w:tcW w:w="541" w:type="dxa"/>
            <w:vAlign w:val="center"/>
          </w:tcPr>
          <w:p w14:paraId="01219248">
            <w:pPr>
              <w:jc w:val="center"/>
              <w:rPr>
                <w:rFonts w:hint="eastAsia"/>
                <w:vertAlign w:val="baseline"/>
                <w:lang w:val="en-US" w:eastAsia="zh-CN"/>
              </w:rPr>
            </w:pPr>
            <w:r>
              <w:rPr>
                <w:rFonts w:hint="eastAsia"/>
                <w:vertAlign w:val="baseline"/>
                <w:lang w:val="en-US" w:eastAsia="zh-CN"/>
              </w:rPr>
              <w:t>项</w:t>
            </w:r>
          </w:p>
        </w:tc>
        <w:tc>
          <w:tcPr>
            <w:tcW w:w="1218" w:type="dxa"/>
            <w:vAlign w:val="center"/>
          </w:tcPr>
          <w:p w14:paraId="70C67476">
            <w:pPr>
              <w:jc w:val="center"/>
              <w:rPr>
                <w:rFonts w:hint="eastAsia"/>
                <w:vertAlign w:val="baseline"/>
                <w:lang w:val="en-US" w:eastAsia="zh-CN"/>
              </w:rPr>
            </w:pPr>
            <w:r>
              <w:rPr>
                <w:rFonts w:hint="eastAsia" w:ascii="宋体" w:hAnsi="宋体" w:eastAsia="宋体" w:cs="宋体"/>
                <w:sz w:val="21"/>
                <w:szCs w:val="21"/>
                <w:lang w:val="en-US" w:eastAsia="zh-CN"/>
              </w:rPr>
              <w:t>30000</w:t>
            </w:r>
          </w:p>
        </w:tc>
        <w:tc>
          <w:tcPr>
            <w:tcW w:w="1218" w:type="dxa"/>
            <w:vAlign w:val="center"/>
          </w:tcPr>
          <w:p w14:paraId="60EB8C7C">
            <w:pPr>
              <w:jc w:val="center"/>
              <w:rPr>
                <w:rFonts w:hint="eastAsia"/>
                <w:vertAlign w:val="baseline"/>
                <w:lang w:val="en-US" w:eastAsia="zh-CN"/>
              </w:rPr>
            </w:pPr>
            <w:r>
              <w:rPr>
                <w:rFonts w:hint="eastAsia" w:ascii="宋体" w:hAnsi="宋体" w:eastAsia="宋体" w:cs="宋体"/>
                <w:sz w:val="21"/>
                <w:szCs w:val="21"/>
                <w:lang w:val="en-US" w:eastAsia="zh-CN"/>
              </w:rPr>
              <w:t>30000</w:t>
            </w:r>
          </w:p>
        </w:tc>
      </w:tr>
      <w:tr w14:paraId="473A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continue"/>
            <w:vAlign w:val="center"/>
          </w:tcPr>
          <w:p w14:paraId="6CFCE6E2">
            <w:pPr>
              <w:jc w:val="center"/>
              <w:rPr>
                <w:vertAlign w:val="baseline"/>
              </w:rPr>
            </w:pPr>
          </w:p>
        </w:tc>
        <w:tc>
          <w:tcPr>
            <w:tcW w:w="540" w:type="dxa"/>
            <w:vAlign w:val="center"/>
          </w:tcPr>
          <w:p w14:paraId="11DA965B">
            <w:pPr>
              <w:jc w:val="center"/>
              <w:rPr>
                <w:rFonts w:hint="default"/>
                <w:vertAlign w:val="baseline"/>
                <w:lang w:val="en-US" w:eastAsia="zh-CN"/>
              </w:rPr>
            </w:pPr>
            <w:r>
              <w:rPr>
                <w:rFonts w:hint="eastAsia"/>
                <w:vertAlign w:val="baseline"/>
                <w:lang w:val="en-US" w:eastAsia="zh-CN"/>
              </w:rPr>
              <w:t>5</w:t>
            </w:r>
          </w:p>
        </w:tc>
        <w:tc>
          <w:tcPr>
            <w:tcW w:w="4050" w:type="dxa"/>
            <w:vAlign w:val="center"/>
          </w:tcPr>
          <w:p w14:paraId="21492881">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电子书数据库</w:t>
            </w:r>
          </w:p>
        </w:tc>
        <w:tc>
          <w:tcPr>
            <w:tcW w:w="465" w:type="dxa"/>
            <w:vAlign w:val="center"/>
          </w:tcPr>
          <w:p w14:paraId="0BB933FD">
            <w:pPr>
              <w:jc w:val="center"/>
              <w:rPr>
                <w:rFonts w:hint="eastAsia"/>
                <w:vertAlign w:val="baseline"/>
                <w:lang w:val="en-US" w:eastAsia="zh-CN"/>
              </w:rPr>
            </w:pPr>
            <w:r>
              <w:rPr>
                <w:rFonts w:hint="eastAsia"/>
                <w:vertAlign w:val="baseline"/>
                <w:lang w:val="en-US" w:eastAsia="zh-CN"/>
              </w:rPr>
              <w:t>1</w:t>
            </w:r>
          </w:p>
        </w:tc>
        <w:tc>
          <w:tcPr>
            <w:tcW w:w="541" w:type="dxa"/>
            <w:vAlign w:val="center"/>
          </w:tcPr>
          <w:p w14:paraId="54D5061C">
            <w:pPr>
              <w:jc w:val="center"/>
              <w:rPr>
                <w:rFonts w:hint="eastAsia"/>
                <w:vertAlign w:val="baseline"/>
                <w:lang w:val="en-US" w:eastAsia="zh-CN"/>
              </w:rPr>
            </w:pPr>
            <w:r>
              <w:rPr>
                <w:rFonts w:hint="eastAsia"/>
                <w:vertAlign w:val="baseline"/>
                <w:lang w:val="en-US" w:eastAsia="zh-CN"/>
              </w:rPr>
              <w:t>项</w:t>
            </w:r>
          </w:p>
        </w:tc>
        <w:tc>
          <w:tcPr>
            <w:tcW w:w="1218" w:type="dxa"/>
            <w:vAlign w:val="center"/>
          </w:tcPr>
          <w:p w14:paraId="436F1D0D">
            <w:pPr>
              <w:jc w:val="center"/>
              <w:rPr>
                <w:rFonts w:hint="eastAsia"/>
                <w:vertAlign w:val="baseline"/>
                <w:lang w:val="en-US" w:eastAsia="zh-CN"/>
              </w:rPr>
            </w:pPr>
            <w:r>
              <w:rPr>
                <w:rFonts w:hint="eastAsia" w:ascii="宋体" w:hAnsi="宋体" w:eastAsia="宋体" w:cs="宋体"/>
                <w:sz w:val="21"/>
                <w:szCs w:val="21"/>
                <w:lang w:val="en-US" w:eastAsia="zh-CN"/>
              </w:rPr>
              <w:t>60000</w:t>
            </w:r>
          </w:p>
        </w:tc>
        <w:tc>
          <w:tcPr>
            <w:tcW w:w="1218" w:type="dxa"/>
            <w:vAlign w:val="center"/>
          </w:tcPr>
          <w:p w14:paraId="0459880B">
            <w:pPr>
              <w:jc w:val="center"/>
              <w:rPr>
                <w:rFonts w:hint="eastAsia"/>
                <w:vertAlign w:val="baseline"/>
                <w:lang w:val="en-US" w:eastAsia="zh-CN"/>
              </w:rPr>
            </w:pPr>
            <w:r>
              <w:rPr>
                <w:rFonts w:hint="eastAsia" w:ascii="宋体" w:hAnsi="宋体" w:eastAsia="宋体" w:cs="宋体"/>
                <w:sz w:val="21"/>
                <w:szCs w:val="21"/>
                <w:lang w:val="en-US" w:eastAsia="zh-CN"/>
              </w:rPr>
              <w:t>60000</w:t>
            </w:r>
          </w:p>
        </w:tc>
      </w:tr>
      <w:tr w14:paraId="0279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continue"/>
            <w:vAlign w:val="center"/>
          </w:tcPr>
          <w:p w14:paraId="2DCAF9DB">
            <w:pPr>
              <w:jc w:val="center"/>
              <w:rPr>
                <w:vertAlign w:val="baseline"/>
              </w:rPr>
            </w:pPr>
          </w:p>
        </w:tc>
        <w:tc>
          <w:tcPr>
            <w:tcW w:w="540" w:type="dxa"/>
            <w:vAlign w:val="center"/>
          </w:tcPr>
          <w:p w14:paraId="6875B884">
            <w:pPr>
              <w:jc w:val="center"/>
              <w:rPr>
                <w:rFonts w:hint="default"/>
                <w:vertAlign w:val="baseline"/>
                <w:lang w:val="en-US" w:eastAsia="zh-CN"/>
              </w:rPr>
            </w:pPr>
            <w:r>
              <w:rPr>
                <w:rFonts w:hint="eastAsia"/>
                <w:vertAlign w:val="baseline"/>
                <w:lang w:val="en-US" w:eastAsia="zh-CN"/>
              </w:rPr>
              <w:t>6</w:t>
            </w:r>
          </w:p>
        </w:tc>
        <w:tc>
          <w:tcPr>
            <w:tcW w:w="4050" w:type="dxa"/>
            <w:vAlign w:val="top"/>
          </w:tcPr>
          <w:p w14:paraId="351E485C">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文献资源数据库</w:t>
            </w:r>
          </w:p>
        </w:tc>
        <w:tc>
          <w:tcPr>
            <w:tcW w:w="465" w:type="dxa"/>
            <w:vAlign w:val="center"/>
          </w:tcPr>
          <w:p w14:paraId="071DA302">
            <w:pPr>
              <w:jc w:val="center"/>
              <w:rPr>
                <w:rFonts w:hint="eastAsia"/>
                <w:vertAlign w:val="baseline"/>
                <w:lang w:val="en-US" w:eastAsia="zh-CN"/>
              </w:rPr>
            </w:pPr>
            <w:r>
              <w:rPr>
                <w:rFonts w:hint="eastAsia"/>
                <w:vertAlign w:val="baseline"/>
                <w:lang w:val="en-US" w:eastAsia="zh-CN"/>
              </w:rPr>
              <w:t>1</w:t>
            </w:r>
          </w:p>
        </w:tc>
        <w:tc>
          <w:tcPr>
            <w:tcW w:w="541" w:type="dxa"/>
            <w:vAlign w:val="center"/>
          </w:tcPr>
          <w:p w14:paraId="767DA863">
            <w:pPr>
              <w:jc w:val="center"/>
              <w:rPr>
                <w:rFonts w:hint="eastAsia"/>
                <w:vertAlign w:val="baseline"/>
                <w:lang w:val="en-US" w:eastAsia="zh-CN"/>
              </w:rPr>
            </w:pPr>
            <w:r>
              <w:rPr>
                <w:rFonts w:hint="eastAsia"/>
                <w:vertAlign w:val="baseline"/>
                <w:lang w:val="en-US" w:eastAsia="zh-CN"/>
              </w:rPr>
              <w:t>项</w:t>
            </w:r>
          </w:p>
        </w:tc>
        <w:tc>
          <w:tcPr>
            <w:tcW w:w="1218" w:type="dxa"/>
            <w:vAlign w:val="center"/>
          </w:tcPr>
          <w:p w14:paraId="5CA402E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250000</w:t>
            </w:r>
          </w:p>
        </w:tc>
        <w:tc>
          <w:tcPr>
            <w:tcW w:w="1218" w:type="dxa"/>
            <w:vAlign w:val="center"/>
          </w:tcPr>
          <w:p w14:paraId="1F4B15E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250000</w:t>
            </w:r>
          </w:p>
        </w:tc>
      </w:tr>
      <w:tr w14:paraId="1E0B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90" w:type="dxa"/>
            <w:vMerge w:val="continue"/>
            <w:vAlign w:val="center"/>
          </w:tcPr>
          <w:p w14:paraId="7502DCE7">
            <w:pPr>
              <w:jc w:val="center"/>
              <w:rPr>
                <w:vertAlign w:val="baseline"/>
              </w:rPr>
            </w:pPr>
          </w:p>
        </w:tc>
        <w:tc>
          <w:tcPr>
            <w:tcW w:w="540" w:type="dxa"/>
            <w:vAlign w:val="center"/>
          </w:tcPr>
          <w:p w14:paraId="52B5BD2E">
            <w:pPr>
              <w:jc w:val="center"/>
              <w:rPr>
                <w:rFonts w:hint="default"/>
                <w:highlight w:val="none"/>
                <w:vertAlign w:val="baseline"/>
                <w:lang w:val="en-US" w:eastAsia="zh-CN"/>
              </w:rPr>
            </w:pPr>
            <w:r>
              <w:rPr>
                <w:rFonts w:hint="eastAsia"/>
                <w:highlight w:val="none"/>
                <w:vertAlign w:val="baseline"/>
                <w:lang w:val="en-US" w:eastAsia="zh-CN"/>
              </w:rPr>
              <w:t>7</w:t>
            </w:r>
          </w:p>
        </w:tc>
        <w:tc>
          <w:tcPr>
            <w:tcW w:w="4050" w:type="dxa"/>
            <w:vAlign w:val="top"/>
          </w:tcPr>
          <w:p w14:paraId="12A00A87">
            <w:p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外语掌上学习平台</w:t>
            </w:r>
          </w:p>
        </w:tc>
        <w:tc>
          <w:tcPr>
            <w:tcW w:w="465" w:type="dxa"/>
            <w:vAlign w:val="center"/>
          </w:tcPr>
          <w:p w14:paraId="09ACA087">
            <w:pPr>
              <w:jc w:val="center"/>
              <w:rPr>
                <w:rFonts w:hint="eastAsia"/>
                <w:highlight w:val="none"/>
                <w:vertAlign w:val="baseline"/>
                <w:lang w:val="en-US" w:eastAsia="zh-CN"/>
              </w:rPr>
            </w:pPr>
            <w:r>
              <w:rPr>
                <w:rFonts w:hint="eastAsia"/>
                <w:highlight w:val="none"/>
                <w:vertAlign w:val="baseline"/>
                <w:lang w:val="en-US" w:eastAsia="zh-CN"/>
              </w:rPr>
              <w:t>1</w:t>
            </w:r>
          </w:p>
        </w:tc>
        <w:tc>
          <w:tcPr>
            <w:tcW w:w="541" w:type="dxa"/>
            <w:vAlign w:val="center"/>
          </w:tcPr>
          <w:p w14:paraId="66E683E9">
            <w:pPr>
              <w:jc w:val="center"/>
              <w:rPr>
                <w:rFonts w:hint="eastAsia"/>
                <w:highlight w:val="none"/>
                <w:vertAlign w:val="baseline"/>
                <w:lang w:val="en-US" w:eastAsia="zh-CN"/>
              </w:rPr>
            </w:pPr>
            <w:r>
              <w:rPr>
                <w:rFonts w:hint="eastAsia"/>
                <w:highlight w:val="none"/>
                <w:vertAlign w:val="baseline"/>
                <w:lang w:val="en-US" w:eastAsia="zh-CN"/>
              </w:rPr>
              <w:t>项</w:t>
            </w:r>
          </w:p>
        </w:tc>
        <w:tc>
          <w:tcPr>
            <w:tcW w:w="1218" w:type="dxa"/>
            <w:vAlign w:val="center"/>
          </w:tcPr>
          <w:p w14:paraId="2EB0EE3E">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69500</w:t>
            </w:r>
          </w:p>
        </w:tc>
        <w:tc>
          <w:tcPr>
            <w:tcW w:w="1218" w:type="dxa"/>
            <w:vAlign w:val="center"/>
          </w:tcPr>
          <w:p w14:paraId="11D0516B">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69500</w:t>
            </w:r>
          </w:p>
        </w:tc>
      </w:tr>
      <w:tr w14:paraId="7586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 w:type="dxa"/>
            <w:vMerge w:val="continue"/>
            <w:vAlign w:val="center"/>
          </w:tcPr>
          <w:p w14:paraId="253D0989">
            <w:pPr>
              <w:jc w:val="center"/>
              <w:rPr>
                <w:vertAlign w:val="baseline"/>
              </w:rPr>
            </w:pPr>
          </w:p>
        </w:tc>
        <w:tc>
          <w:tcPr>
            <w:tcW w:w="540" w:type="dxa"/>
            <w:vAlign w:val="center"/>
          </w:tcPr>
          <w:p w14:paraId="333BDF1F">
            <w:pPr>
              <w:jc w:val="center"/>
              <w:rPr>
                <w:rFonts w:hint="default"/>
                <w:vertAlign w:val="baseline"/>
                <w:lang w:val="en-US" w:eastAsia="zh-CN"/>
              </w:rPr>
            </w:pPr>
            <w:r>
              <w:rPr>
                <w:rFonts w:hint="eastAsia"/>
                <w:vertAlign w:val="baseline"/>
                <w:lang w:val="en-US" w:eastAsia="zh-CN"/>
              </w:rPr>
              <w:t>8</w:t>
            </w:r>
          </w:p>
        </w:tc>
        <w:tc>
          <w:tcPr>
            <w:tcW w:w="4050" w:type="dxa"/>
            <w:vAlign w:val="top"/>
          </w:tcPr>
          <w:p w14:paraId="5F90DBDE">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专利检索分析系统</w:t>
            </w:r>
          </w:p>
        </w:tc>
        <w:tc>
          <w:tcPr>
            <w:tcW w:w="465" w:type="dxa"/>
            <w:vAlign w:val="center"/>
          </w:tcPr>
          <w:p w14:paraId="3ED7876B">
            <w:pPr>
              <w:jc w:val="center"/>
              <w:rPr>
                <w:rFonts w:hint="eastAsia"/>
                <w:vertAlign w:val="baseline"/>
                <w:lang w:val="en-US" w:eastAsia="zh-CN"/>
              </w:rPr>
            </w:pPr>
            <w:r>
              <w:rPr>
                <w:rFonts w:hint="eastAsia"/>
                <w:vertAlign w:val="baseline"/>
                <w:lang w:val="en-US" w:eastAsia="zh-CN"/>
              </w:rPr>
              <w:t>1</w:t>
            </w:r>
          </w:p>
        </w:tc>
        <w:tc>
          <w:tcPr>
            <w:tcW w:w="541" w:type="dxa"/>
            <w:vAlign w:val="center"/>
          </w:tcPr>
          <w:p w14:paraId="4DC0471D">
            <w:pPr>
              <w:jc w:val="center"/>
              <w:rPr>
                <w:rFonts w:hint="eastAsia"/>
                <w:vertAlign w:val="baseline"/>
                <w:lang w:val="en-US" w:eastAsia="zh-CN"/>
              </w:rPr>
            </w:pPr>
            <w:r>
              <w:rPr>
                <w:rFonts w:hint="eastAsia"/>
                <w:vertAlign w:val="baseline"/>
                <w:lang w:val="en-US" w:eastAsia="zh-CN"/>
              </w:rPr>
              <w:t>项</w:t>
            </w:r>
          </w:p>
        </w:tc>
        <w:tc>
          <w:tcPr>
            <w:tcW w:w="1218" w:type="dxa"/>
            <w:vAlign w:val="center"/>
          </w:tcPr>
          <w:p w14:paraId="72D0607B">
            <w:pPr>
              <w:jc w:val="center"/>
              <w:rPr>
                <w:rFonts w:hint="eastAsia"/>
                <w:vertAlign w:val="baseline"/>
                <w:lang w:val="en-US" w:eastAsia="zh-CN"/>
              </w:rPr>
            </w:pPr>
            <w:r>
              <w:rPr>
                <w:rFonts w:hint="eastAsia" w:ascii="宋体" w:hAnsi="宋体" w:eastAsia="宋体" w:cs="宋体"/>
                <w:sz w:val="21"/>
                <w:szCs w:val="21"/>
                <w:lang w:val="en-US" w:eastAsia="zh-CN"/>
              </w:rPr>
              <w:t>30000</w:t>
            </w:r>
          </w:p>
        </w:tc>
        <w:tc>
          <w:tcPr>
            <w:tcW w:w="1218" w:type="dxa"/>
            <w:vAlign w:val="center"/>
          </w:tcPr>
          <w:p w14:paraId="1DBAD1C2">
            <w:pPr>
              <w:jc w:val="center"/>
              <w:rPr>
                <w:rFonts w:hint="eastAsia"/>
                <w:vertAlign w:val="baseline"/>
                <w:lang w:val="en-US" w:eastAsia="zh-CN"/>
              </w:rPr>
            </w:pPr>
            <w:r>
              <w:rPr>
                <w:rFonts w:hint="eastAsia" w:ascii="宋体" w:hAnsi="宋体" w:eastAsia="宋体" w:cs="宋体"/>
                <w:sz w:val="21"/>
                <w:szCs w:val="21"/>
                <w:lang w:val="en-US" w:eastAsia="zh-CN"/>
              </w:rPr>
              <w:t>30000</w:t>
            </w:r>
          </w:p>
        </w:tc>
      </w:tr>
      <w:tr w14:paraId="6845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continue"/>
            <w:vAlign w:val="center"/>
          </w:tcPr>
          <w:p w14:paraId="3CEE65F4">
            <w:pPr>
              <w:jc w:val="center"/>
              <w:rPr>
                <w:vertAlign w:val="baseline"/>
              </w:rPr>
            </w:pPr>
          </w:p>
        </w:tc>
        <w:tc>
          <w:tcPr>
            <w:tcW w:w="540" w:type="dxa"/>
            <w:vAlign w:val="center"/>
          </w:tcPr>
          <w:p w14:paraId="3E03203A">
            <w:pPr>
              <w:jc w:val="center"/>
              <w:rPr>
                <w:rFonts w:hint="default"/>
                <w:vertAlign w:val="baseline"/>
                <w:lang w:val="en-US" w:eastAsia="zh-CN"/>
              </w:rPr>
            </w:pPr>
            <w:r>
              <w:rPr>
                <w:rFonts w:hint="eastAsia"/>
                <w:vertAlign w:val="baseline"/>
                <w:lang w:val="en-US" w:eastAsia="zh-CN"/>
              </w:rPr>
              <w:t>9</w:t>
            </w:r>
          </w:p>
        </w:tc>
        <w:tc>
          <w:tcPr>
            <w:tcW w:w="4050" w:type="dxa"/>
            <w:vAlign w:val="top"/>
          </w:tcPr>
          <w:p w14:paraId="417FC74F">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全学科学术报告类资源数据库</w:t>
            </w:r>
          </w:p>
        </w:tc>
        <w:tc>
          <w:tcPr>
            <w:tcW w:w="465" w:type="dxa"/>
            <w:vAlign w:val="center"/>
          </w:tcPr>
          <w:p w14:paraId="0E3918FD">
            <w:pPr>
              <w:jc w:val="center"/>
              <w:rPr>
                <w:rFonts w:hint="eastAsia"/>
                <w:vertAlign w:val="baseline"/>
                <w:lang w:val="en-US" w:eastAsia="zh-CN"/>
              </w:rPr>
            </w:pPr>
            <w:r>
              <w:rPr>
                <w:rFonts w:hint="eastAsia"/>
                <w:vertAlign w:val="baseline"/>
                <w:lang w:val="en-US" w:eastAsia="zh-CN"/>
              </w:rPr>
              <w:t>1</w:t>
            </w:r>
          </w:p>
        </w:tc>
        <w:tc>
          <w:tcPr>
            <w:tcW w:w="541" w:type="dxa"/>
            <w:vAlign w:val="center"/>
          </w:tcPr>
          <w:p w14:paraId="5631D87B">
            <w:pPr>
              <w:jc w:val="center"/>
              <w:rPr>
                <w:rFonts w:hint="eastAsia"/>
                <w:highlight w:val="none"/>
                <w:vertAlign w:val="baseline"/>
                <w:lang w:val="en-US" w:eastAsia="zh-CN"/>
              </w:rPr>
            </w:pPr>
            <w:r>
              <w:rPr>
                <w:rFonts w:hint="eastAsia"/>
                <w:highlight w:val="none"/>
                <w:vertAlign w:val="baseline"/>
                <w:lang w:val="en-US" w:eastAsia="zh-CN"/>
              </w:rPr>
              <w:t>项</w:t>
            </w:r>
          </w:p>
        </w:tc>
        <w:tc>
          <w:tcPr>
            <w:tcW w:w="1218" w:type="dxa"/>
            <w:vAlign w:val="center"/>
          </w:tcPr>
          <w:p w14:paraId="1B105C69">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30700</w:t>
            </w:r>
          </w:p>
        </w:tc>
        <w:tc>
          <w:tcPr>
            <w:tcW w:w="1218" w:type="dxa"/>
            <w:vAlign w:val="center"/>
          </w:tcPr>
          <w:p w14:paraId="4F26169C">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30700</w:t>
            </w:r>
          </w:p>
        </w:tc>
      </w:tr>
      <w:tr w14:paraId="6A12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continue"/>
            <w:vAlign w:val="center"/>
          </w:tcPr>
          <w:p w14:paraId="3EC1CB55">
            <w:pPr>
              <w:jc w:val="center"/>
              <w:rPr>
                <w:vertAlign w:val="baseline"/>
              </w:rPr>
            </w:pPr>
          </w:p>
        </w:tc>
        <w:tc>
          <w:tcPr>
            <w:tcW w:w="540" w:type="dxa"/>
            <w:vAlign w:val="center"/>
          </w:tcPr>
          <w:p w14:paraId="78FDB86E">
            <w:pPr>
              <w:jc w:val="center"/>
              <w:rPr>
                <w:rFonts w:hint="default"/>
                <w:vertAlign w:val="baseline"/>
                <w:lang w:val="en-US" w:eastAsia="zh-CN"/>
              </w:rPr>
            </w:pPr>
            <w:r>
              <w:rPr>
                <w:rFonts w:hint="eastAsia"/>
                <w:vertAlign w:val="baseline"/>
                <w:lang w:val="en-US" w:eastAsia="zh-CN"/>
              </w:rPr>
              <w:t>10</w:t>
            </w:r>
          </w:p>
        </w:tc>
        <w:tc>
          <w:tcPr>
            <w:tcW w:w="4050" w:type="dxa"/>
            <w:vAlign w:val="top"/>
          </w:tcPr>
          <w:p w14:paraId="002CA140">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大学生职业技能学习培训类资源库</w:t>
            </w:r>
          </w:p>
        </w:tc>
        <w:tc>
          <w:tcPr>
            <w:tcW w:w="465" w:type="dxa"/>
            <w:vAlign w:val="center"/>
          </w:tcPr>
          <w:p w14:paraId="461E4ADC">
            <w:pPr>
              <w:jc w:val="center"/>
              <w:rPr>
                <w:rFonts w:hint="eastAsia"/>
                <w:vertAlign w:val="baseline"/>
                <w:lang w:val="en-US" w:eastAsia="zh-CN"/>
              </w:rPr>
            </w:pPr>
            <w:r>
              <w:rPr>
                <w:rFonts w:hint="eastAsia"/>
                <w:vertAlign w:val="baseline"/>
                <w:lang w:val="en-US" w:eastAsia="zh-CN"/>
              </w:rPr>
              <w:t>1</w:t>
            </w:r>
          </w:p>
        </w:tc>
        <w:tc>
          <w:tcPr>
            <w:tcW w:w="541" w:type="dxa"/>
            <w:vAlign w:val="center"/>
          </w:tcPr>
          <w:p w14:paraId="7BDB716D">
            <w:pPr>
              <w:jc w:val="center"/>
              <w:rPr>
                <w:rFonts w:hint="eastAsia"/>
                <w:vertAlign w:val="baseline"/>
                <w:lang w:val="en-US" w:eastAsia="zh-CN"/>
              </w:rPr>
            </w:pPr>
            <w:r>
              <w:rPr>
                <w:rFonts w:hint="eastAsia"/>
                <w:vertAlign w:val="baseline"/>
                <w:lang w:val="en-US" w:eastAsia="zh-CN"/>
              </w:rPr>
              <w:t>项</w:t>
            </w:r>
          </w:p>
        </w:tc>
        <w:tc>
          <w:tcPr>
            <w:tcW w:w="1218" w:type="dxa"/>
            <w:vAlign w:val="center"/>
          </w:tcPr>
          <w:p w14:paraId="3FD1A11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100000</w:t>
            </w:r>
          </w:p>
        </w:tc>
        <w:tc>
          <w:tcPr>
            <w:tcW w:w="1218" w:type="dxa"/>
            <w:vAlign w:val="center"/>
          </w:tcPr>
          <w:p w14:paraId="6C30AC3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100000</w:t>
            </w:r>
          </w:p>
        </w:tc>
      </w:tr>
      <w:tr w14:paraId="532A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continue"/>
            <w:vAlign w:val="center"/>
          </w:tcPr>
          <w:p w14:paraId="4F41D6D2">
            <w:pPr>
              <w:jc w:val="center"/>
              <w:rPr>
                <w:vertAlign w:val="baseline"/>
              </w:rPr>
            </w:pPr>
          </w:p>
        </w:tc>
        <w:tc>
          <w:tcPr>
            <w:tcW w:w="540" w:type="dxa"/>
            <w:vAlign w:val="center"/>
          </w:tcPr>
          <w:p w14:paraId="6C03D07A">
            <w:pPr>
              <w:jc w:val="center"/>
              <w:rPr>
                <w:rFonts w:hint="default"/>
                <w:vertAlign w:val="baseline"/>
                <w:lang w:val="en-US" w:eastAsia="zh-CN"/>
              </w:rPr>
            </w:pPr>
            <w:r>
              <w:rPr>
                <w:rFonts w:hint="eastAsia"/>
                <w:vertAlign w:val="baseline"/>
                <w:lang w:val="en-US" w:eastAsia="zh-CN"/>
              </w:rPr>
              <w:t>11</w:t>
            </w:r>
          </w:p>
        </w:tc>
        <w:tc>
          <w:tcPr>
            <w:tcW w:w="4050" w:type="dxa"/>
            <w:vAlign w:val="top"/>
          </w:tcPr>
          <w:p w14:paraId="70954F69">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计算机软件自助式学习系统</w:t>
            </w:r>
          </w:p>
        </w:tc>
        <w:tc>
          <w:tcPr>
            <w:tcW w:w="465" w:type="dxa"/>
            <w:vAlign w:val="center"/>
          </w:tcPr>
          <w:p w14:paraId="358A32DF">
            <w:pPr>
              <w:jc w:val="center"/>
              <w:rPr>
                <w:rFonts w:hint="eastAsia"/>
                <w:vertAlign w:val="baseline"/>
                <w:lang w:val="en-US" w:eastAsia="zh-CN"/>
              </w:rPr>
            </w:pPr>
            <w:r>
              <w:rPr>
                <w:rFonts w:hint="eastAsia"/>
                <w:vertAlign w:val="baseline"/>
                <w:lang w:val="en-US" w:eastAsia="zh-CN"/>
              </w:rPr>
              <w:t>1</w:t>
            </w:r>
          </w:p>
        </w:tc>
        <w:tc>
          <w:tcPr>
            <w:tcW w:w="541" w:type="dxa"/>
            <w:vAlign w:val="center"/>
          </w:tcPr>
          <w:p w14:paraId="10400078">
            <w:pPr>
              <w:jc w:val="center"/>
              <w:rPr>
                <w:rFonts w:hint="eastAsia"/>
                <w:highlight w:val="none"/>
                <w:vertAlign w:val="baseline"/>
                <w:lang w:val="en-US" w:eastAsia="zh-CN"/>
              </w:rPr>
            </w:pPr>
            <w:r>
              <w:rPr>
                <w:rFonts w:hint="eastAsia"/>
                <w:highlight w:val="none"/>
                <w:vertAlign w:val="baseline"/>
                <w:lang w:val="en-US" w:eastAsia="zh-CN"/>
              </w:rPr>
              <w:t>项</w:t>
            </w:r>
          </w:p>
        </w:tc>
        <w:tc>
          <w:tcPr>
            <w:tcW w:w="1218" w:type="dxa"/>
            <w:vAlign w:val="center"/>
          </w:tcPr>
          <w:p w14:paraId="12A5A2DE">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75000</w:t>
            </w:r>
          </w:p>
        </w:tc>
        <w:tc>
          <w:tcPr>
            <w:tcW w:w="1218" w:type="dxa"/>
            <w:vAlign w:val="center"/>
          </w:tcPr>
          <w:p w14:paraId="67E6BF5B">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75000</w:t>
            </w:r>
          </w:p>
        </w:tc>
      </w:tr>
      <w:tr w14:paraId="5170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continue"/>
            <w:vAlign w:val="center"/>
          </w:tcPr>
          <w:p w14:paraId="0E3A0F50">
            <w:pPr>
              <w:jc w:val="center"/>
              <w:rPr>
                <w:vertAlign w:val="baseline"/>
              </w:rPr>
            </w:pPr>
          </w:p>
        </w:tc>
        <w:tc>
          <w:tcPr>
            <w:tcW w:w="540" w:type="dxa"/>
            <w:vAlign w:val="center"/>
          </w:tcPr>
          <w:p w14:paraId="46FD38E5">
            <w:pPr>
              <w:jc w:val="center"/>
              <w:rPr>
                <w:rFonts w:hint="default"/>
                <w:vertAlign w:val="baseline"/>
                <w:lang w:val="en-US" w:eastAsia="zh-CN"/>
              </w:rPr>
            </w:pPr>
            <w:r>
              <w:rPr>
                <w:rFonts w:hint="eastAsia"/>
                <w:vertAlign w:val="baseline"/>
                <w:lang w:val="en-US" w:eastAsia="zh-CN"/>
              </w:rPr>
              <w:t>12</w:t>
            </w:r>
          </w:p>
        </w:tc>
        <w:tc>
          <w:tcPr>
            <w:tcW w:w="4050" w:type="dxa"/>
            <w:vAlign w:val="top"/>
          </w:tcPr>
          <w:p w14:paraId="39C64436">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高校图书馆考研阅览室学习资源平台</w:t>
            </w:r>
          </w:p>
        </w:tc>
        <w:tc>
          <w:tcPr>
            <w:tcW w:w="465" w:type="dxa"/>
            <w:vAlign w:val="center"/>
          </w:tcPr>
          <w:p w14:paraId="1CC30CDB">
            <w:pPr>
              <w:jc w:val="center"/>
              <w:rPr>
                <w:rFonts w:hint="eastAsia"/>
                <w:vertAlign w:val="baseline"/>
                <w:lang w:val="en-US" w:eastAsia="zh-CN"/>
              </w:rPr>
            </w:pPr>
            <w:r>
              <w:rPr>
                <w:rFonts w:hint="eastAsia"/>
                <w:vertAlign w:val="baseline"/>
                <w:lang w:val="en-US" w:eastAsia="zh-CN"/>
              </w:rPr>
              <w:t>1</w:t>
            </w:r>
          </w:p>
        </w:tc>
        <w:tc>
          <w:tcPr>
            <w:tcW w:w="541" w:type="dxa"/>
            <w:vAlign w:val="center"/>
          </w:tcPr>
          <w:p w14:paraId="5488660F">
            <w:pPr>
              <w:jc w:val="center"/>
              <w:rPr>
                <w:rFonts w:hint="eastAsia"/>
                <w:vertAlign w:val="baseline"/>
                <w:lang w:val="en-US" w:eastAsia="zh-CN"/>
              </w:rPr>
            </w:pPr>
            <w:r>
              <w:rPr>
                <w:rFonts w:hint="eastAsia"/>
                <w:vertAlign w:val="baseline"/>
                <w:lang w:val="en-US" w:eastAsia="zh-CN"/>
              </w:rPr>
              <w:t>项</w:t>
            </w:r>
          </w:p>
        </w:tc>
        <w:tc>
          <w:tcPr>
            <w:tcW w:w="1218" w:type="dxa"/>
            <w:vAlign w:val="center"/>
          </w:tcPr>
          <w:p w14:paraId="4B91922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100000</w:t>
            </w:r>
          </w:p>
        </w:tc>
        <w:tc>
          <w:tcPr>
            <w:tcW w:w="1218" w:type="dxa"/>
            <w:vAlign w:val="center"/>
          </w:tcPr>
          <w:p w14:paraId="77F21A7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100000</w:t>
            </w:r>
          </w:p>
        </w:tc>
      </w:tr>
      <w:tr w14:paraId="4EB4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continue"/>
            <w:vAlign w:val="center"/>
          </w:tcPr>
          <w:p w14:paraId="0AF3C833">
            <w:pPr>
              <w:jc w:val="center"/>
              <w:rPr>
                <w:vertAlign w:val="baseline"/>
              </w:rPr>
            </w:pPr>
          </w:p>
        </w:tc>
        <w:tc>
          <w:tcPr>
            <w:tcW w:w="540" w:type="dxa"/>
            <w:vAlign w:val="center"/>
          </w:tcPr>
          <w:p w14:paraId="4DD94768">
            <w:pPr>
              <w:jc w:val="center"/>
              <w:rPr>
                <w:rFonts w:hint="default"/>
                <w:vertAlign w:val="baseline"/>
                <w:lang w:val="en-US" w:eastAsia="zh-CN"/>
              </w:rPr>
            </w:pPr>
            <w:r>
              <w:rPr>
                <w:rFonts w:hint="eastAsia"/>
                <w:vertAlign w:val="baseline"/>
                <w:lang w:val="en-US" w:eastAsia="zh-CN"/>
              </w:rPr>
              <w:t>13</w:t>
            </w:r>
          </w:p>
        </w:tc>
        <w:tc>
          <w:tcPr>
            <w:tcW w:w="4050" w:type="dxa"/>
            <w:vAlign w:val="top"/>
          </w:tcPr>
          <w:p w14:paraId="625C8402">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高校信息素养教育数据库</w:t>
            </w:r>
          </w:p>
        </w:tc>
        <w:tc>
          <w:tcPr>
            <w:tcW w:w="465" w:type="dxa"/>
            <w:vAlign w:val="center"/>
          </w:tcPr>
          <w:p w14:paraId="6CF6690D">
            <w:pPr>
              <w:jc w:val="center"/>
              <w:rPr>
                <w:rFonts w:hint="eastAsia"/>
                <w:vertAlign w:val="baseline"/>
                <w:lang w:val="en-US" w:eastAsia="zh-CN"/>
              </w:rPr>
            </w:pPr>
            <w:r>
              <w:rPr>
                <w:rFonts w:hint="eastAsia"/>
                <w:vertAlign w:val="baseline"/>
                <w:lang w:val="en-US" w:eastAsia="zh-CN"/>
              </w:rPr>
              <w:t>1</w:t>
            </w:r>
          </w:p>
        </w:tc>
        <w:tc>
          <w:tcPr>
            <w:tcW w:w="541" w:type="dxa"/>
            <w:vAlign w:val="center"/>
          </w:tcPr>
          <w:p w14:paraId="6548F2EE">
            <w:pPr>
              <w:jc w:val="center"/>
              <w:rPr>
                <w:rFonts w:hint="eastAsia"/>
                <w:vertAlign w:val="baseline"/>
                <w:lang w:val="en-US" w:eastAsia="zh-CN"/>
              </w:rPr>
            </w:pPr>
            <w:r>
              <w:rPr>
                <w:rFonts w:hint="eastAsia"/>
                <w:vertAlign w:val="baseline"/>
                <w:lang w:val="en-US" w:eastAsia="zh-CN"/>
              </w:rPr>
              <w:t>项</w:t>
            </w:r>
          </w:p>
        </w:tc>
        <w:tc>
          <w:tcPr>
            <w:tcW w:w="1218" w:type="dxa"/>
            <w:vAlign w:val="center"/>
          </w:tcPr>
          <w:p w14:paraId="1F333F9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w:t>
            </w:r>
          </w:p>
        </w:tc>
        <w:tc>
          <w:tcPr>
            <w:tcW w:w="1218" w:type="dxa"/>
            <w:vAlign w:val="center"/>
          </w:tcPr>
          <w:p w14:paraId="2ED5A40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20000</w:t>
            </w:r>
          </w:p>
        </w:tc>
      </w:tr>
      <w:tr w14:paraId="5CAA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continue"/>
            <w:vAlign w:val="center"/>
          </w:tcPr>
          <w:p w14:paraId="03022611">
            <w:pPr>
              <w:jc w:val="center"/>
              <w:rPr>
                <w:vertAlign w:val="baseline"/>
              </w:rPr>
            </w:pPr>
          </w:p>
        </w:tc>
        <w:tc>
          <w:tcPr>
            <w:tcW w:w="540" w:type="dxa"/>
            <w:vAlign w:val="center"/>
          </w:tcPr>
          <w:p w14:paraId="2F471C32">
            <w:pPr>
              <w:jc w:val="center"/>
              <w:rPr>
                <w:rFonts w:hint="default"/>
                <w:vertAlign w:val="baseline"/>
                <w:lang w:val="en-US" w:eastAsia="zh-CN"/>
              </w:rPr>
            </w:pPr>
            <w:r>
              <w:rPr>
                <w:rFonts w:hint="eastAsia"/>
                <w:vertAlign w:val="baseline"/>
                <w:lang w:val="en-US" w:eastAsia="zh-CN"/>
              </w:rPr>
              <w:t>14</w:t>
            </w:r>
          </w:p>
        </w:tc>
        <w:tc>
          <w:tcPr>
            <w:tcW w:w="4050" w:type="dxa"/>
            <w:vAlign w:val="top"/>
          </w:tcPr>
          <w:p w14:paraId="17EB89E9">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人工智能在线咨询平台</w:t>
            </w:r>
          </w:p>
        </w:tc>
        <w:tc>
          <w:tcPr>
            <w:tcW w:w="465" w:type="dxa"/>
            <w:vAlign w:val="center"/>
          </w:tcPr>
          <w:p w14:paraId="69C51F00">
            <w:pPr>
              <w:jc w:val="center"/>
              <w:rPr>
                <w:rFonts w:hint="eastAsia"/>
                <w:vertAlign w:val="baseline"/>
                <w:lang w:val="en-US" w:eastAsia="zh-CN"/>
              </w:rPr>
            </w:pPr>
            <w:r>
              <w:rPr>
                <w:rFonts w:hint="eastAsia"/>
                <w:vertAlign w:val="baseline"/>
                <w:lang w:val="en-US" w:eastAsia="zh-CN"/>
              </w:rPr>
              <w:t>1</w:t>
            </w:r>
          </w:p>
        </w:tc>
        <w:tc>
          <w:tcPr>
            <w:tcW w:w="541" w:type="dxa"/>
            <w:vAlign w:val="center"/>
          </w:tcPr>
          <w:p w14:paraId="7022ADBF">
            <w:pPr>
              <w:jc w:val="center"/>
              <w:rPr>
                <w:rFonts w:hint="eastAsia"/>
                <w:vertAlign w:val="baseline"/>
                <w:lang w:val="en-US" w:eastAsia="zh-CN"/>
              </w:rPr>
            </w:pPr>
            <w:r>
              <w:rPr>
                <w:rFonts w:hint="eastAsia"/>
                <w:vertAlign w:val="baseline"/>
                <w:lang w:val="en-US" w:eastAsia="zh-CN"/>
              </w:rPr>
              <w:t>项</w:t>
            </w:r>
          </w:p>
        </w:tc>
        <w:tc>
          <w:tcPr>
            <w:tcW w:w="1218" w:type="dxa"/>
            <w:vAlign w:val="center"/>
          </w:tcPr>
          <w:p w14:paraId="52B060AC">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200000</w:t>
            </w:r>
          </w:p>
        </w:tc>
        <w:tc>
          <w:tcPr>
            <w:tcW w:w="1218" w:type="dxa"/>
            <w:vAlign w:val="center"/>
          </w:tcPr>
          <w:p w14:paraId="04AF148C">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200000</w:t>
            </w:r>
          </w:p>
        </w:tc>
      </w:tr>
      <w:tr w14:paraId="4FDF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90" w:type="dxa"/>
            <w:vMerge w:val="continue"/>
            <w:vAlign w:val="center"/>
          </w:tcPr>
          <w:p w14:paraId="3C5CB16B">
            <w:pPr>
              <w:jc w:val="center"/>
              <w:rPr>
                <w:vertAlign w:val="baseline"/>
              </w:rPr>
            </w:pPr>
          </w:p>
        </w:tc>
        <w:tc>
          <w:tcPr>
            <w:tcW w:w="540" w:type="dxa"/>
            <w:vAlign w:val="center"/>
          </w:tcPr>
          <w:p w14:paraId="3FFDCF75">
            <w:pPr>
              <w:jc w:val="center"/>
              <w:rPr>
                <w:rFonts w:hint="default"/>
                <w:vertAlign w:val="baseline"/>
                <w:lang w:val="en-US" w:eastAsia="zh-CN"/>
              </w:rPr>
            </w:pPr>
            <w:r>
              <w:rPr>
                <w:rFonts w:hint="eastAsia"/>
                <w:vertAlign w:val="baseline"/>
                <w:lang w:val="en-US" w:eastAsia="zh-CN"/>
              </w:rPr>
              <w:t>15</w:t>
            </w:r>
          </w:p>
        </w:tc>
        <w:tc>
          <w:tcPr>
            <w:tcW w:w="4050" w:type="dxa"/>
            <w:vAlign w:val="top"/>
          </w:tcPr>
          <w:p w14:paraId="5EEFE284">
            <w:pPr>
              <w:jc w:val="both"/>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全球统计数据分析平台</w:t>
            </w:r>
          </w:p>
        </w:tc>
        <w:tc>
          <w:tcPr>
            <w:tcW w:w="465" w:type="dxa"/>
            <w:vAlign w:val="center"/>
          </w:tcPr>
          <w:p w14:paraId="5A4D8110">
            <w:pPr>
              <w:jc w:val="center"/>
              <w:rPr>
                <w:rFonts w:hint="eastAsia"/>
                <w:vertAlign w:val="baseline"/>
                <w:lang w:val="en-US" w:eastAsia="zh-CN"/>
              </w:rPr>
            </w:pPr>
            <w:r>
              <w:rPr>
                <w:rFonts w:hint="eastAsia"/>
                <w:vertAlign w:val="baseline"/>
                <w:lang w:val="en-US" w:eastAsia="zh-CN"/>
              </w:rPr>
              <w:t>1</w:t>
            </w:r>
          </w:p>
        </w:tc>
        <w:tc>
          <w:tcPr>
            <w:tcW w:w="541" w:type="dxa"/>
            <w:vAlign w:val="center"/>
          </w:tcPr>
          <w:p w14:paraId="14C3BBE6">
            <w:pPr>
              <w:jc w:val="center"/>
              <w:rPr>
                <w:rFonts w:hint="eastAsia"/>
                <w:vertAlign w:val="baseline"/>
                <w:lang w:val="en-US" w:eastAsia="zh-CN"/>
              </w:rPr>
            </w:pPr>
            <w:r>
              <w:rPr>
                <w:rFonts w:hint="eastAsia"/>
                <w:vertAlign w:val="baseline"/>
                <w:lang w:val="en-US" w:eastAsia="zh-CN"/>
              </w:rPr>
              <w:t>项</w:t>
            </w:r>
          </w:p>
        </w:tc>
        <w:tc>
          <w:tcPr>
            <w:tcW w:w="1218" w:type="dxa"/>
            <w:vAlign w:val="center"/>
          </w:tcPr>
          <w:p w14:paraId="4FFDA7E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100800</w:t>
            </w:r>
          </w:p>
        </w:tc>
        <w:tc>
          <w:tcPr>
            <w:tcW w:w="1218" w:type="dxa"/>
            <w:vAlign w:val="center"/>
          </w:tcPr>
          <w:p w14:paraId="15AE1B1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100800</w:t>
            </w:r>
          </w:p>
        </w:tc>
      </w:tr>
      <w:tr w14:paraId="2F4C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continue"/>
            <w:vAlign w:val="center"/>
          </w:tcPr>
          <w:p w14:paraId="4DFBEA62">
            <w:pPr>
              <w:jc w:val="center"/>
              <w:rPr>
                <w:vertAlign w:val="baseline"/>
              </w:rPr>
            </w:pPr>
          </w:p>
        </w:tc>
        <w:tc>
          <w:tcPr>
            <w:tcW w:w="540" w:type="dxa"/>
            <w:vAlign w:val="center"/>
          </w:tcPr>
          <w:p w14:paraId="0683D06E">
            <w:pPr>
              <w:jc w:val="center"/>
              <w:rPr>
                <w:rFonts w:hint="default"/>
                <w:vertAlign w:val="baseline"/>
                <w:lang w:val="en-US" w:eastAsia="zh-CN"/>
              </w:rPr>
            </w:pPr>
            <w:r>
              <w:rPr>
                <w:rFonts w:hint="eastAsia"/>
                <w:vertAlign w:val="baseline"/>
                <w:lang w:val="en-US" w:eastAsia="zh-CN"/>
              </w:rPr>
              <w:t>16</w:t>
            </w:r>
          </w:p>
        </w:tc>
        <w:tc>
          <w:tcPr>
            <w:tcW w:w="4050" w:type="dxa"/>
            <w:vAlign w:val="top"/>
          </w:tcPr>
          <w:p w14:paraId="2903FCF8">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中国学术期刊网络出版总库</w:t>
            </w:r>
          </w:p>
        </w:tc>
        <w:tc>
          <w:tcPr>
            <w:tcW w:w="465" w:type="dxa"/>
            <w:vAlign w:val="center"/>
          </w:tcPr>
          <w:p w14:paraId="1776F285">
            <w:pPr>
              <w:jc w:val="center"/>
              <w:rPr>
                <w:rFonts w:hint="eastAsia"/>
                <w:vertAlign w:val="baseline"/>
                <w:lang w:val="en-US" w:eastAsia="zh-CN"/>
              </w:rPr>
            </w:pPr>
            <w:r>
              <w:rPr>
                <w:rFonts w:hint="eastAsia"/>
                <w:vertAlign w:val="baseline"/>
                <w:lang w:val="en-US" w:eastAsia="zh-CN"/>
              </w:rPr>
              <w:t>1</w:t>
            </w:r>
          </w:p>
        </w:tc>
        <w:tc>
          <w:tcPr>
            <w:tcW w:w="541" w:type="dxa"/>
            <w:vAlign w:val="center"/>
          </w:tcPr>
          <w:p w14:paraId="32804C89">
            <w:pPr>
              <w:jc w:val="center"/>
              <w:rPr>
                <w:rFonts w:hint="eastAsia"/>
                <w:vertAlign w:val="baseline"/>
                <w:lang w:val="en-US" w:eastAsia="zh-CN"/>
              </w:rPr>
            </w:pPr>
            <w:r>
              <w:rPr>
                <w:rFonts w:hint="eastAsia"/>
                <w:vertAlign w:val="baseline"/>
                <w:lang w:val="en-US" w:eastAsia="zh-CN"/>
              </w:rPr>
              <w:t>项</w:t>
            </w:r>
          </w:p>
        </w:tc>
        <w:tc>
          <w:tcPr>
            <w:tcW w:w="1218" w:type="dxa"/>
            <w:vAlign w:val="center"/>
          </w:tcPr>
          <w:p w14:paraId="3CD11D72">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225000</w:t>
            </w:r>
          </w:p>
        </w:tc>
        <w:tc>
          <w:tcPr>
            <w:tcW w:w="1218" w:type="dxa"/>
            <w:vAlign w:val="center"/>
          </w:tcPr>
          <w:p w14:paraId="04E60BE4">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225000</w:t>
            </w:r>
          </w:p>
        </w:tc>
      </w:tr>
      <w:tr w14:paraId="507C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continue"/>
            <w:vAlign w:val="center"/>
          </w:tcPr>
          <w:p w14:paraId="069719B4">
            <w:pPr>
              <w:jc w:val="center"/>
              <w:rPr>
                <w:vertAlign w:val="baseline"/>
              </w:rPr>
            </w:pPr>
          </w:p>
        </w:tc>
        <w:tc>
          <w:tcPr>
            <w:tcW w:w="540" w:type="dxa"/>
            <w:vAlign w:val="center"/>
          </w:tcPr>
          <w:p w14:paraId="5468BAD5">
            <w:pPr>
              <w:jc w:val="center"/>
              <w:rPr>
                <w:rFonts w:hint="default"/>
                <w:vertAlign w:val="baseline"/>
                <w:lang w:val="en-US" w:eastAsia="zh-CN"/>
              </w:rPr>
            </w:pPr>
            <w:r>
              <w:rPr>
                <w:rFonts w:hint="eastAsia"/>
                <w:vertAlign w:val="baseline"/>
                <w:lang w:val="en-US" w:eastAsia="zh-CN"/>
              </w:rPr>
              <w:t>17</w:t>
            </w:r>
          </w:p>
        </w:tc>
        <w:tc>
          <w:tcPr>
            <w:tcW w:w="4050" w:type="dxa"/>
            <w:vAlign w:val="top"/>
          </w:tcPr>
          <w:p w14:paraId="1A191DFF">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考试学习资源数据库</w:t>
            </w:r>
          </w:p>
        </w:tc>
        <w:tc>
          <w:tcPr>
            <w:tcW w:w="465" w:type="dxa"/>
            <w:vAlign w:val="center"/>
          </w:tcPr>
          <w:p w14:paraId="55E64A1F">
            <w:pPr>
              <w:jc w:val="center"/>
              <w:rPr>
                <w:rFonts w:hint="eastAsia"/>
                <w:vertAlign w:val="baseline"/>
                <w:lang w:val="en-US" w:eastAsia="zh-CN"/>
              </w:rPr>
            </w:pPr>
            <w:r>
              <w:rPr>
                <w:rFonts w:hint="eastAsia"/>
                <w:vertAlign w:val="baseline"/>
                <w:lang w:val="en-US" w:eastAsia="zh-CN"/>
              </w:rPr>
              <w:t>1</w:t>
            </w:r>
          </w:p>
        </w:tc>
        <w:tc>
          <w:tcPr>
            <w:tcW w:w="541" w:type="dxa"/>
            <w:vAlign w:val="center"/>
          </w:tcPr>
          <w:p w14:paraId="571DF5EB">
            <w:pPr>
              <w:jc w:val="center"/>
              <w:rPr>
                <w:rFonts w:hint="eastAsia"/>
                <w:vertAlign w:val="baseline"/>
                <w:lang w:val="en-US" w:eastAsia="zh-CN"/>
              </w:rPr>
            </w:pPr>
            <w:r>
              <w:rPr>
                <w:rFonts w:hint="eastAsia"/>
                <w:vertAlign w:val="baseline"/>
                <w:lang w:val="en-US" w:eastAsia="zh-CN"/>
              </w:rPr>
              <w:t>项</w:t>
            </w:r>
          </w:p>
        </w:tc>
        <w:tc>
          <w:tcPr>
            <w:tcW w:w="1218" w:type="dxa"/>
            <w:vAlign w:val="center"/>
          </w:tcPr>
          <w:p w14:paraId="51653495">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29000</w:t>
            </w:r>
          </w:p>
        </w:tc>
        <w:tc>
          <w:tcPr>
            <w:tcW w:w="1218" w:type="dxa"/>
            <w:vAlign w:val="center"/>
          </w:tcPr>
          <w:p w14:paraId="607060C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29000</w:t>
            </w:r>
          </w:p>
        </w:tc>
      </w:tr>
      <w:tr w14:paraId="3639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4" w:type="dxa"/>
            <w:gridSpan w:val="6"/>
            <w:vAlign w:val="center"/>
          </w:tcPr>
          <w:p w14:paraId="000F2B51">
            <w:pPr>
              <w:jc w:val="center"/>
              <w:rPr>
                <w:rFonts w:hint="eastAsia"/>
                <w:highlight w:val="cyan"/>
                <w:vertAlign w:val="baseline"/>
                <w:lang w:val="en-US" w:eastAsia="zh-CN"/>
              </w:rPr>
            </w:pPr>
          </w:p>
        </w:tc>
        <w:tc>
          <w:tcPr>
            <w:tcW w:w="1218" w:type="dxa"/>
            <w:vAlign w:val="center"/>
          </w:tcPr>
          <w:p w14:paraId="4D34DDB4">
            <w:pPr>
              <w:jc w:val="center"/>
              <w:rPr>
                <w:rFonts w:hint="default"/>
                <w:highlight w:val="cyan"/>
                <w:vertAlign w:val="baseline"/>
                <w:lang w:val="en-US" w:eastAsia="zh-CN"/>
              </w:rPr>
            </w:pPr>
            <w:r>
              <w:rPr>
                <w:rFonts w:hint="eastAsia"/>
                <w:highlight w:val="none"/>
                <w:vertAlign w:val="baseline"/>
                <w:lang w:val="en-US" w:eastAsia="zh-CN"/>
              </w:rPr>
              <w:t>1700000</w:t>
            </w:r>
          </w:p>
        </w:tc>
      </w:tr>
    </w:tbl>
    <w:p w14:paraId="251C4E7A">
      <w:pPr>
        <w:rPr>
          <w:rFonts w:hint="eastAsia"/>
          <w:lang w:val="en-US" w:eastAsia="zh-CN"/>
        </w:rPr>
      </w:pPr>
    </w:p>
    <w:p w14:paraId="5E8B9A3A">
      <w:pPr>
        <w:rPr>
          <w:rFonts w:hint="default"/>
          <w:lang w:val="en-US" w:eastAsia="zh-CN"/>
        </w:rPr>
      </w:pPr>
    </w:p>
    <w:p w14:paraId="4E79CEAB">
      <w:pPr>
        <w:rPr>
          <w:rFonts w:hint="default"/>
          <w:lang w:val="en-US" w:eastAsia="zh-CN"/>
        </w:rPr>
      </w:pPr>
    </w:p>
    <w:p w14:paraId="465CB6F6">
      <w:pPr>
        <w:rPr>
          <w:rFonts w:hint="default"/>
          <w:lang w:val="en-US" w:eastAsia="zh-CN"/>
        </w:rPr>
      </w:pPr>
    </w:p>
    <w:p w14:paraId="494464EA">
      <w:pPr>
        <w:rPr>
          <w:rFonts w:hint="default"/>
          <w:lang w:val="en-US" w:eastAsia="zh-CN"/>
        </w:rPr>
      </w:pPr>
    </w:p>
    <w:p w14:paraId="7E86F1B4">
      <w:pPr>
        <w:rPr>
          <w:rFonts w:hint="default"/>
          <w:lang w:val="en-US" w:eastAsia="zh-CN"/>
        </w:rPr>
      </w:pPr>
    </w:p>
    <w:p w14:paraId="3D050816">
      <w:pPr>
        <w:pStyle w:val="2"/>
        <w:rPr>
          <w:rFonts w:hint="default"/>
          <w:lang w:val="en-US" w:eastAsia="zh-CN"/>
        </w:rPr>
      </w:pPr>
    </w:p>
    <w:p w14:paraId="2B987F32">
      <w:pPr>
        <w:rPr>
          <w:rFonts w:hint="default"/>
          <w:lang w:val="en-US" w:eastAsia="zh-CN"/>
        </w:rPr>
      </w:pPr>
    </w:p>
    <w:p w14:paraId="09D3F4CD">
      <w:pPr>
        <w:rPr>
          <w:rFonts w:hint="default"/>
          <w:lang w:val="en-US" w:eastAsia="zh-CN"/>
        </w:rPr>
      </w:pPr>
    </w:p>
    <w:p w14:paraId="0F5CB0F2">
      <w:pPr>
        <w:rPr>
          <w:rFonts w:hint="eastAsia"/>
          <w:lang w:val="en-US" w:eastAsia="zh-CN"/>
        </w:rPr>
      </w:pPr>
      <w:r>
        <w:rPr>
          <w:rFonts w:hint="eastAsia"/>
          <w:lang w:val="en-US" w:eastAsia="zh-CN"/>
        </w:rPr>
        <w:t>合同包1（学科保障类数据库）</w:t>
      </w:r>
    </w:p>
    <w:p w14:paraId="6D46476D">
      <w:pPr>
        <w:pStyle w:val="2"/>
        <w:numPr>
          <w:ilvl w:val="0"/>
          <w:numId w:val="1"/>
        </w:numPr>
        <w:spacing w:line="240" w:lineRule="auto"/>
        <w:rPr>
          <w:rFonts w:hint="eastAsia"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主要商务要求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5900"/>
      </w:tblGrid>
      <w:tr w14:paraId="778C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Align w:val="center"/>
          </w:tcPr>
          <w:p w14:paraId="472373B8">
            <w:pPr>
              <w:widowControl w:val="0"/>
              <w:numPr>
                <w:ilvl w:val="0"/>
                <w:numId w:val="0"/>
              </w:numPr>
              <w:jc w:val="both"/>
              <w:rPr>
                <w:rFonts w:hint="default"/>
                <w:vertAlign w:val="baseline"/>
                <w:lang w:val="en-US" w:eastAsia="zh-CN"/>
              </w:rPr>
            </w:pPr>
            <w:r>
              <w:rPr>
                <w:rFonts w:hint="eastAsia"/>
                <w:vertAlign w:val="baseline"/>
                <w:lang w:val="en-US" w:eastAsia="zh-CN"/>
              </w:rPr>
              <w:t>标的提供的时间</w:t>
            </w:r>
          </w:p>
        </w:tc>
        <w:tc>
          <w:tcPr>
            <w:tcW w:w="5900" w:type="dxa"/>
          </w:tcPr>
          <w:p w14:paraId="79858C06">
            <w:pPr>
              <w:widowControl w:val="0"/>
              <w:numPr>
                <w:ilvl w:val="0"/>
                <w:numId w:val="0"/>
              </w:numPr>
              <w:jc w:val="both"/>
              <w:rPr>
                <w:rFonts w:hint="default"/>
                <w:vertAlign w:val="baseline"/>
                <w:lang w:val="en-US" w:eastAsia="zh-CN"/>
              </w:rPr>
            </w:pPr>
            <w:r>
              <w:rPr>
                <w:rFonts w:hint="eastAsia"/>
                <w:vertAlign w:val="baseline"/>
                <w:lang w:val="en-US" w:eastAsia="zh-CN"/>
              </w:rPr>
              <w:t>合同签订后3个日历日内交货</w:t>
            </w:r>
          </w:p>
        </w:tc>
      </w:tr>
      <w:tr w14:paraId="39C6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Align w:val="center"/>
          </w:tcPr>
          <w:p w14:paraId="46B5B7E6">
            <w:pPr>
              <w:widowControl w:val="0"/>
              <w:numPr>
                <w:ilvl w:val="0"/>
                <w:numId w:val="0"/>
              </w:numPr>
              <w:jc w:val="both"/>
              <w:rPr>
                <w:rFonts w:hint="default"/>
                <w:vertAlign w:val="baseline"/>
                <w:lang w:val="en-US" w:eastAsia="zh-CN"/>
              </w:rPr>
            </w:pPr>
            <w:r>
              <w:rPr>
                <w:rFonts w:hint="eastAsia"/>
                <w:vertAlign w:val="baseline"/>
                <w:lang w:val="en-US" w:eastAsia="zh-CN"/>
              </w:rPr>
              <w:t>标的提供的地点</w:t>
            </w:r>
          </w:p>
        </w:tc>
        <w:tc>
          <w:tcPr>
            <w:tcW w:w="5900" w:type="dxa"/>
          </w:tcPr>
          <w:p w14:paraId="74A61ACB">
            <w:pPr>
              <w:widowControl w:val="0"/>
              <w:numPr>
                <w:ilvl w:val="0"/>
                <w:numId w:val="0"/>
              </w:numPr>
              <w:jc w:val="both"/>
              <w:rPr>
                <w:rFonts w:hint="default"/>
                <w:vertAlign w:val="baseline"/>
                <w:lang w:val="en-US" w:eastAsia="zh-CN"/>
              </w:rPr>
            </w:pPr>
            <w:r>
              <w:rPr>
                <w:rFonts w:hint="eastAsia"/>
                <w:vertAlign w:val="baseline"/>
                <w:lang w:val="en-US" w:eastAsia="zh-CN"/>
              </w:rPr>
              <w:t>内蒙古科技大学</w:t>
            </w:r>
          </w:p>
        </w:tc>
      </w:tr>
      <w:tr w14:paraId="69EE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Align w:val="center"/>
          </w:tcPr>
          <w:p w14:paraId="47356A13">
            <w:pPr>
              <w:widowControl w:val="0"/>
              <w:numPr>
                <w:ilvl w:val="0"/>
                <w:numId w:val="0"/>
              </w:numPr>
              <w:jc w:val="both"/>
              <w:rPr>
                <w:rFonts w:hint="default"/>
                <w:vertAlign w:val="baseline"/>
                <w:lang w:val="en-US" w:eastAsia="zh-CN"/>
              </w:rPr>
            </w:pPr>
            <w:r>
              <w:rPr>
                <w:rFonts w:hint="eastAsia"/>
                <w:vertAlign w:val="baseline"/>
                <w:lang w:val="en-US" w:eastAsia="zh-CN"/>
              </w:rPr>
              <w:t>付款方式</w:t>
            </w:r>
          </w:p>
        </w:tc>
        <w:tc>
          <w:tcPr>
            <w:tcW w:w="5900" w:type="dxa"/>
          </w:tcPr>
          <w:p w14:paraId="23083033">
            <w:pPr>
              <w:widowControl w:val="0"/>
              <w:numPr>
                <w:ilvl w:val="0"/>
                <w:numId w:val="0"/>
              </w:numPr>
              <w:jc w:val="both"/>
              <w:rPr>
                <w:rFonts w:hint="default"/>
                <w:vertAlign w:val="baseline"/>
                <w:lang w:val="en-US" w:eastAsia="zh-CN"/>
              </w:rPr>
            </w:pPr>
            <w:r>
              <w:rPr>
                <w:rFonts w:hint="eastAsia"/>
                <w:vertAlign w:val="baseline"/>
                <w:lang w:val="en-US" w:eastAsia="zh-CN"/>
              </w:rPr>
              <w:t>1期：支付比例</w:t>
            </w:r>
            <w:r>
              <w:rPr>
                <w:rFonts w:hint="default"/>
                <w:vertAlign w:val="baseline"/>
                <w:lang w:val="en-US" w:eastAsia="zh-CN"/>
              </w:rPr>
              <w:t>100%</w:t>
            </w:r>
            <w:r>
              <w:rPr>
                <w:rFonts w:hint="eastAsia"/>
                <w:vertAlign w:val="baseline"/>
                <w:lang w:val="en-US" w:eastAsia="zh-CN"/>
              </w:rPr>
              <w:t>，采购人按照设备的配置清单组织相关部门进行验收合格后一次性付款。</w:t>
            </w:r>
          </w:p>
        </w:tc>
      </w:tr>
      <w:tr w14:paraId="1005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Align w:val="center"/>
          </w:tcPr>
          <w:p w14:paraId="2C4302C6">
            <w:pPr>
              <w:widowControl w:val="0"/>
              <w:numPr>
                <w:ilvl w:val="0"/>
                <w:numId w:val="0"/>
              </w:numPr>
              <w:jc w:val="both"/>
              <w:rPr>
                <w:rFonts w:hint="default"/>
                <w:vertAlign w:val="baseline"/>
                <w:lang w:val="en-US" w:eastAsia="zh-CN"/>
              </w:rPr>
            </w:pPr>
            <w:r>
              <w:rPr>
                <w:rFonts w:hint="eastAsia"/>
                <w:vertAlign w:val="baseline"/>
                <w:lang w:val="en-US" w:eastAsia="zh-CN"/>
              </w:rPr>
              <w:t>验收要求</w:t>
            </w:r>
          </w:p>
        </w:tc>
        <w:tc>
          <w:tcPr>
            <w:tcW w:w="5900" w:type="dxa"/>
          </w:tcPr>
          <w:p w14:paraId="023999C3">
            <w:pPr>
              <w:widowControl w:val="0"/>
              <w:numPr>
                <w:ilvl w:val="0"/>
                <w:numId w:val="0"/>
              </w:numPr>
              <w:jc w:val="both"/>
              <w:rPr>
                <w:rFonts w:hint="default"/>
                <w:vertAlign w:val="baseline"/>
                <w:lang w:val="en-US" w:eastAsia="zh-CN"/>
              </w:rPr>
            </w:pPr>
            <w:r>
              <w:rPr>
                <w:rFonts w:hint="eastAsia"/>
                <w:vertAlign w:val="baseline"/>
                <w:lang w:val="en-US" w:eastAsia="zh-CN"/>
              </w:rPr>
              <w:t>1期：数据库应按合同中技术、商务要求验收。</w:t>
            </w:r>
          </w:p>
        </w:tc>
      </w:tr>
      <w:tr w14:paraId="4861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Align w:val="center"/>
          </w:tcPr>
          <w:p w14:paraId="71A530E4">
            <w:pPr>
              <w:widowControl w:val="0"/>
              <w:numPr>
                <w:ilvl w:val="0"/>
                <w:numId w:val="0"/>
              </w:numPr>
              <w:jc w:val="both"/>
              <w:rPr>
                <w:rFonts w:hint="default"/>
                <w:vertAlign w:val="baseline"/>
                <w:lang w:val="en-US" w:eastAsia="zh-CN"/>
              </w:rPr>
            </w:pPr>
            <w:r>
              <w:rPr>
                <w:rFonts w:hint="eastAsia"/>
                <w:vertAlign w:val="baseline"/>
                <w:lang w:val="en-US" w:eastAsia="zh-CN"/>
              </w:rPr>
              <w:t>履约保证金</w:t>
            </w:r>
          </w:p>
        </w:tc>
        <w:tc>
          <w:tcPr>
            <w:tcW w:w="5900" w:type="dxa"/>
          </w:tcPr>
          <w:p w14:paraId="3FFBDCC5">
            <w:pPr>
              <w:widowControl w:val="0"/>
              <w:numPr>
                <w:ilvl w:val="0"/>
                <w:numId w:val="0"/>
              </w:numPr>
              <w:jc w:val="both"/>
              <w:rPr>
                <w:rFonts w:hint="default"/>
                <w:vertAlign w:val="baseline"/>
                <w:lang w:val="en-US" w:eastAsia="zh-CN"/>
              </w:rPr>
            </w:pPr>
            <w:r>
              <w:rPr>
                <w:rFonts w:hint="eastAsia"/>
                <w:vertAlign w:val="baseline"/>
                <w:lang w:val="en-US" w:eastAsia="zh-CN"/>
              </w:rPr>
              <w:t>合同总金额的3%</w:t>
            </w:r>
          </w:p>
        </w:tc>
      </w:tr>
      <w:tr w14:paraId="0A36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Align w:val="center"/>
          </w:tcPr>
          <w:p w14:paraId="74E8EA83">
            <w:pPr>
              <w:widowControl w:val="0"/>
              <w:numPr>
                <w:ilvl w:val="0"/>
                <w:numId w:val="0"/>
              </w:numPr>
              <w:jc w:val="both"/>
              <w:rPr>
                <w:rFonts w:hint="default"/>
                <w:vertAlign w:val="baseline"/>
                <w:lang w:val="en-US" w:eastAsia="zh-CN"/>
              </w:rPr>
            </w:pPr>
            <w:r>
              <w:rPr>
                <w:rFonts w:hint="eastAsia"/>
                <w:vertAlign w:val="baseline"/>
                <w:lang w:val="en-US" w:eastAsia="zh-CN"/>
              </w:rPr>
              <w:t>其他</w:t>
            </w:r>
          </w:p>
        </w:tc>
        <w:tc>
          <w:tcPr>
            <w:tcW w:w="5900" w:type="dxa"/>
          </w:tcPr>
          <w:p w14:paraId="3212AF5A">
            <w:pPr>
              <w:widowControl w:val="0"/>
              <w:numPr>
                <w:ilvl w:val="0"/>
                <w:numId w:val="0"/>
              </w:numPr>
              <w:jc w:val="both"/>
              <w:rPr>
                <w:rFonts w:hint="default"/>
                <w:vertAlign w:val="baseline"/>
                <w:lang w:val="en-US" w:eastAsia="zh-CN"/>
              </w:rPr>
            </w:pPr>
          </w:p>
        </w:tc>
      </w:tr>
    </w:tbl>
    <w:p w14:paraId="7E1FBC67">
      <w:pPr>
        <w:widowControl w:val="0"/>
        <w:numPr>
          <w:ilvl w:val="0"/>
          <w:numId w:val="0"/>
        </w:numPr>
        <w:jc w:val="both"/>
        <w:rPr>
          <w:rFonts w:hint="default"/>
          <w:lang w:val="en-US" w:eastAsia="zh-CN"/>
        </w:rPr>
      </w:pPr>
    </w:p>
    <w:p w14:paraId="2AFF961B">
      <w:pPr>
        <w:rPr>
          <w:rFonts w:hint="default"/>
          <w:lang w:val="en-US" w:eastAsia="zh-CN"/>
        </w:rPr>
      </w:pPr>
      <w:r>
        <w:rPr>
          <w:rFonts w:hint="eastAsia"/>
          <w:lang w:val="en-US" w:eastAsia="zh-CN"/>
        </w:rPr>
        <w:t>附表一、学科保障类数据库</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555"/>
        <w:gridCol w:w="6675"/>
        <w:gridCol w:w="450"/>
        <w:gridCol w:w="463"/>
      </w:tblGrid>
      <w:tr w14:paraId="4CB5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dxa"/>
            <w:vAlign w:val="center"/>
          </w:tcPr>
          <w:p w14:paraId="761C9BFC">
            <w:pPr>
              <w:jc w:val="center"/>
              <w:rPr>
                <w:rFonts w:hint="default"/>
                <w:vertAlign w:val="baseline"/>
                <w:lang w:val="en-US" w:eastAsia="zh-CN"/>
              </w:rPr>
            </w:pPr>
            <w:r>
              <w:rPr>
                <w:rFonts w:hint="eastAsia"/>
                <w:vertAlign w:val="baseline"/>
                <w:lang w:val="en-US" w:eastAsia="zh-CN"/>
              </w:rPr>
              <w:t>序号</w:t>
            </w:r>
          </w:p>
        </w:tc>
        <w:tc>
          <w:tcPr>
            <w:tcW w:w="555" w:type="dxa"/>
            <w:vAlign w:val="center"/>
          </w:tcPr>
          <w:p w14:paraId="54DEA157">
            <w:pPr>
              <w:jc w:val="center"/>
              <w:rPr>
                <w:rFonts w:hint="default"/>
                <w:vertAlign w:val="baseline"/>
                <w:lang w:val="en-US" w:eastAsia="zh-CN"/>
              </w:rPr>
            </w:pPr>
            <w:r>
              <w:rPr>
                <w:rFonts w:hint="eastAsia"/>
                <w:vertAlign w:val="baseline"/>
                <w:lang w:val="en-US" w:eastAsia="zh-CN"/>
              </w:rPr>
              <w:t>数据库名称</w:t>
            </w:r>
          </w:p>
        </w:tc>
        <w:tc>
          <w:tcPr>
            <w:tcW w:w="6675" w:type="dxa"/>
            <w:vAlign w:val="center"/>
          </w:tcPr>
          <w:p w14:paraId="4A029FE3">
            <w:pPr>
              <w:jc w:val="center"/>
              <w:rPr>
                <w:rFonts w:hint="default"/>
                <w:vertAlign w:val="baseline"/>
                <w:lang w:val="en-US" w:eastAsia="zh-CN"/>
              </w:rPr>
            </w:pPr>
            <w:r>
              <w:rPr>
                <w:rFonts w:hint="eastAsia"/>
                <w:vertAlign w:val="baseline"/>
                <w:lang w:val="en-US" w:eastAsia="zh-CN"/>
              </w:rPr>
              <w:t>规格要求</w:t>
            </w:r>
          </w:p>
        </w:tc>
        <w:tc>
          <w:tcPr>
            <w:tcW w:w="450" w:type="dxa"/>
            <w:vAlign w:val="center"/>
          </w:tcPr>
          <w:p w14:paraId="1C35F590">
            <w:pPr>
              <w:jc w:val="center"/>
              <w:rPr>
                <w:rFonts w:hint="default"/>
                <w:vertAlign w:val="baseline"/>
                <w:lang w:val="en-US" w:eastAsia="zh-CN"/>
              </w:rPr>
            </w:pPr>
            <w:r>
              <w:rPr>
                <w:rFonts w:hint="eastAsia"/>
                <w:vertAlign w:val="baseline"/>
                <w:lang w:val="en-US" w:eastAsia="zh-CN"/>
              </w:rPr>
              <w:t>数量</w:t>
            </w:r>
          </w:p>
        </w:tc>
        <w:tc>
          <w:tcPr>
            <w:tcW w:w="463" w:type="dxa"/>
            <w:vAlign w:val="center"/>
          </w:tcPr>
          <w:p w14:paraId="09D1D535">
            <w:pPr>
              <w:jc w:val="center"/>
              <w:rPr>
                <w:rFonts w:hint="default"/>
                <w:vertAlign w:val="baseline"/>
                <w:lang w:val="en-US" w:eastAsia="zh-CN"/>
              </w:rPr>
            </w:pPr>
            <w:r>
              <w:rPr>
                <w:rFonts w:hint="eastAsia"/>
                <w:vertAlign w:val="baseline"/>
                <w:lang w:val="en-US" w:eastAsia="zh-CN"/>
              </w:rPr>
              <w:t>备注</w:t>
            </w:r>
          </w:p>
        </w:tc>
      </w:tr>
      <w:tr w14:paraId="1AC1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dxa"/>
            <w:vAlign w:val="center"/>
          </w:tcPr>
          <w:p w14:paraId="1CA7A78F">
            <w:pPr>
              <w:jc w:val="center"/>
              <w:rPr>
                <w:rFonts w:hint="default"/>
                <w:vertAlign w:val="baseline"/>
                <w:lang w:val="en-US" w:eastAsia="zh-CN"/>
              </w:rPr>
            </w:pPr>
            <w:r>
              <w:rPr>
                <w:rFonts w:hint="eastAsia"/>
                <w:vertAlign w:val="baseline"/>
                <w:lang w:val="en-US" w:eastAsia="zh-CN"/>
              </w:rPr>
              <w:t>1</w:t>
            </w:r>
          </w:p>
        </w:tc>
        <w:tc>
          <w:tcPr>
            <w:tcW w:w="555" w:type="dxa"/>
            <w:vAlign w:val="center"/>
          </w:tcPr>
          <w:p w14:paraId="1E0F7610">
            <w:pPr>
              <w:jc w:val="center"/>
              <w:rPr>
                <w:rFonts w:hint="default"/>
                <w:vertAlign w:val="baseline"/>
                <w:lang w:val="en-US" w:eastAsia="zh-CN"/>
              </w:rPr>
            </w:pPr>
            <w:r>
              <w:rPr>
                <w:rFonts w:hint="eastAsia" w:ascii="宋体" w:hAnsi="宋体" w:eastAsia="宋体" w:cs="宋体"/>
                <w:b w:val="0"/>
                <w:bCs w:val="0"/>
                <w:color w:val="auto"/>
                <w:sz w:val="21"/>
                <w:szCs w:val="21"/>
                <w:highlight w:val="none"/>
                <w:lang w:val="en-US" w:eastAsia="zh-CN"/>
              </w:rPr>
              <w:t>中国知识资源总库（2024本地镜像模式）</w:t>
            </w:r>
          </w:p>
        </w:tc>
        <w:tc>
          <w:tcPr>
            <w:tcW w:w="6675" w:type="dxa"/>
            <w:vAlign w:val="top"/>
          </w:tcPr>
          <w:p w14:paraId="73422F07">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一、中国学术期刊网络出版总库 (专辑：A,B,C,D,E,F,G,H,I,J；产品年度：2024年；本地镜像模式)，1、收录范围：我国公开出版发行的学术期刊 (含英文版) 全文文献 ，包括基础与应用基础研究、工程技术、政策指导、行业指导、实用技术、职业指导类期刊。2、检索字段 ：主题、篇名、关键词、 摘要、作者、第一作者、全文、参考文献、基金、单位、刊名、年、期、中图分类号。3、支持节点文献的二级参考文献、参考文献、共引 文献、同被引文献、引证文献、二级引证文献、相似文献、读者推荐文献、相关基金文献。4、检索方式：提供一框式检索、高级检索、专业检索、作者发文检索、句子检索五种检索方式全方位满足用户的检索需求。二、中国博士学位论文全文数据库 (专辑：A,B,C,D,E,F,G,H,I,J；产品年度：2024年；本地镜像模式)，1、出版内容：覆盖基础科学、工程技术、农业、医学、哲学、人 文等各个领域。2、资源特色：收录全国985、211工程等重点高校，中国科学院、社会科学院等研究院所的博士学位论文。3、文献来源完整率：收录至少520家博士培养单位（涉及国家保密的单位除外）的博士学位论文，占我国博士学位培养单位的99％。985、211院校学位论文覆盖率达到100%；4、专注精英：重点收录全国“双一流”建设高校、重要科研院所等通过答辩的博士学位论文。其中，“双一流”建设高校覆盖率100%，国家重点学科覆盖率达98%，收全率达95%。特色学科覆盖率达100%，收全率95%。5、检索功能：提供高级检索、专业检索、句子检索、一框式检索四种面向不同需求的检索方式。提供多种检索字段：主题、篇关摘、题名、关键词、全文、摘要、目录等。6、节点模块：不仅包含了单篇文献的详细信息，还是各种扩展信息的入口汇集点。这些扩展信息通过概念相关、事实相关等方法提示知识之间的关联关系，达到知识扩展的目的，有助于新知识的学习和发现，帮助实现知识获取、知识发现。</w:t>
            </w:r>
          </w:p>
          <w:p w14:paraId="3B480F31">
            <w:pPr>
              <w:rPr>
                <w:rFonts w:hint="default"/>
                <w:vertAlign w:val="baseline"/>
                <w:lang w:val="en-US" w:eastAsia="zh-CN"/>
              </w:rPr>
            </w:pPr>
            <w:r>
              <w:rPr>
                <w:rFonts w:hint="eastAsia" w:ascii="宋体" w:hAnsi="宋体" w:eastAsia="宋体" w:cs="宋体"/>
                <w:b w:val="0"/>
                <w:bCs w:val="0"/>
                <w:color w:val="auto"/>
                <w:sz w:val="21"/>
                <w:szCs w:val="21"/>
                <w:highlight w:val="none"/>
                <w:lang w:val="en-US" w:eastAsia="zh-CN"/>
              </w:rPr>
              <w:t>7、系统性：可以同时与多个数据库（学术期刊、会议论文、报纸、专利、科技成果等数据库）进行跨库统一检索、引文链接、知识聚类，跟踪国际相同课题的研究发展，支持全面系统的科技查新、项目调研、决策咨询。三、中国优秀硕士学位论文全文数据库 (专辑：A,B,C,D,E ,F,G,H ,I,J；产品年度：2024年；本地镜像模式) ，1、出版内容：覆盖基础科学、工程技术、农业、哲学、医学 、哲学、人文等各个领域。2、资源特色：重点收录985、211高校、中国科学院、社会科学院等重点院校高校的优秀硕士论文、重要特色学科如通信、中医药等专业的优秀硕士论文。3、文献来源完整率：收录至少790家硕士培养单位（涉及国家保密的单位除外）的硕士学位论文；4、专注精英：重点收录全国“双一流”建设高校、重要科研院所等通过答辩的博士学位论文。其中，“双一流”建设高校覆盖率100%，国家重点学科覆盖率达98%，收全率达95%。特色学科覆盖率达100%，收全率95%。5、检索功能：提供高级检索、专业检索、句子检索、一框式检索四种面向不同需求的检索方式。提供多种检索字段：主题、篇关摘、题名、关键词、全文、摘要、目录等。6、节点模块：不仅包含了单篇文献的详细信息，还是各种扩展信息的入口汇集点。这些扩展信息通过概念相关、事实相关等方法提示知识之间的关联关系，达到知识扩展的目的，有助于新知识的学习和发现，帮助实现知识获取、知识发现。四、中国重要会议论文全文数据库 (专辑：A,B,C,D,E,F,G,H,I,J；产品年度：2024年；本地镜像模式)，1、收录范围：主要收录自高校重点实验室、研究中心及院系主办的学术会议；全国性学会及其分会、专业委员会主办的学术会议或论文评选；全国性行业协会及其分会主办的行业活动或发布的行业报告；地方性学会/协会主办的特色会议（选择性收录）；2、出版授权：签定会议论文出版授权协议书，取得会议主办方或汇编方及论文作者出版授权；3、检索功能特点：（1）系统性：可与期刊、学位论文、专利等文献统一检索，支持系统化科技查新、情报调研。（2）智能检索：主题检索过程中嵌入专业词典、主题词表、中英对照词典、停用词表等工具，并采用关键词截断算法，将低相关或微相关文献进行截断，为用户全面、精准的检索结果。（3）检索方式：提供一框式检索、高级检索、专业检索、作者发文检索、句子检索五种检索方式全方位满足用户的检索需求。高级检索提供相关词推荐和作者检索引导功能，帮助用户精确定位检索内容。（4）检索框内支持检索词间“*”、“+”、“-”的逻辑运算，使检索更加灵活便捷。（5）文献检索平台提供了以168学科导航为基础的文献导航，可控制检索的学科范围，提高检索准确率及检索速度，也可直接查看/浏览每个导航类目下的文献。4、可检索字段：主题、篇关摘、关键词、篇名、全文、作者、第一作者、单位、会议名称、主办单位、基金、摘要、小标题、论文集名称、参考文献、中图分类号、DOI、会议时间、会议级别、报告级别、论文集类型、语种。五、中国重要报纸全文数据库 (专辑：A,B,C,D,E,F,G,H,I,J；产品年度：2024年；本地镜像模式)1、收录范围：中央级各类报纸，各省、自治区、直辖市及其他地市级城市党报，以及面向全国公开发行的具有一定影响力的特色重要行业性报纸；2、收录年限：2000年至今；3、导航体系：专辑导航、报纸导航、地域导航。4、检索字段：主题、题名、关键词、作者、全文、报纸名称、日期、国内统一刊号、中图分类号。七、中国年鉴网络出版总库（地域版）（全国性年鉴,辽宁,吉林,黑龙江,北京,天津,河北,山西,内蒙古,陕西,甘肃,宁夏,青海,新疆,上海,山东,江苏,安徽,浙江,江西,福建,河南,湖北,湖南,广东,海南,广西,四川,重庆,贵州,云南,西藏,香港,澳门,世界与其他国家与地区；产品年度：2024年；本地镜像模式）1、本刊中国国内统一刊号为：CN11-9126/Z。是目前国内连续更新的动态年鉴资源全文数据库。内容覆盖基本国情、地理历史、政治军事外交、法律、经济、科学技术、教育、文化体育事业、医疗卫生、社会生活等各个领域。2、数据来源：中国国内的中央、地方、行业和企业等各类年鉴的全文文献。3、分类体系：年鉴整刊及条目按学科（专辑/专题）、行业、地域分类。4、出版合法性：所收录年鉴均取得其出版单位授权。5、年鉴种数收录完整：中收录的中央级年鉴、省级年鉴的刊种完整率不低于95%，其他年鉴的刊种完整率不低于90%。八、全文检索系统：1、能兼容管理不同种类文献数据库，能管理海量非结构化数据。2、可以统一访问和管理各种异构资源，检索平台下必须整合期刊、博硕、会议、报纸、年鉴等数据库，且均可一框式跨库、跨语言检索，并可选择跨库检索的数据库；3、文献数据格式必须有CAJ高清格式，提供自主知识产权的caj格式文献的阅读器。4、系统能提供完备的检索功能，如（支持模糊检索、全文检索、智能检索、二次检索、引文检索、句子检索、科研基金检索、学者检索、检索范围限制等），对检索结果可以按照需要进行排序。5、具备丰富的文献分析功能，能多层次、多角度、多维度提供文献分析得到知识图谱和知识脉络，能够提供图像化文献分析功能。6、检索结果可按“来源数据库”“学科”“发表年度”“研究层次”“作者”“机构”“基金”来分组浏览。7、检索结果可按“发表时间”“被引次数”“下载次数”排序。8、对常用的检索可定制检索式，可自动得到检索结果和更新。9、可以设置检索结果以列表和摘要两种方式显示；可设置每页显示的数量。10、该数据库系统应具有全文检索功能，支持数据库中所有字段的任意多种方式检索：初级、组合、高级和跨库检索等，并支持二次检索的功能，允许使用文中的任意字、词、短语、句和片段进行检索，支持字词混合检索。11、知识网络：以文献为节点构建知识网络节，揭示各种文献内容之间的内在关联，包括参考文献、引证文献、共引文献、同被引文献、二级参考文献、二级引证文献，追踪学术研究来龙去脉，还提供相似文献、同行关注文献、相同导师文献、相关作者文献，多角度挖掘相关内容。12、有智能检索功能，以文献和检索词的相关度为基础，综合考查文献的重要性等指标，对检索结果进行排序，能提供更高的检索效率。比如检索热词“人工智能”结果能按照相关度和重要性排序。13、指数分析：检索的关键词通过发文量，被引量，文献下载量来分析其学术关注度、媒体关注度、学术传播度、用户关注。备注：专辑名称：基础科学(A)、工程科技Ⅰ辑 (B) 、工程科技Ⅱ辑(C)、农业科 技(D)、医药卫生科技(E)、哲学与人文科学(F)、社会科学Ⅰ辑(G)、社会科学Ⅱ辑(H)、信息科技(I )、经济与管理科学(J ) 提供2024年本地镜像。</w:t>
            </w:r>
          </w:p>
        </w:tc>
        <w:tc>
          <w:tcPr>
            <w:tcW w:w="450" w:type="dxa"/>
            <w:vAlign w:val="center"/>
          </w:tcPr>
          <w:p w14:paraId="2B97DDC5">
            <w:pPr>
              <w:jc w:val="center"/>
              <w:rPr>
                <w:rFonts w:hint="default"/>
                <w:vertAlign w:val="baseline"/>
                <w:lang w:val="en-US" w:eastAsia="zh-CN"/>
              </w:rPr>
            </w:pPr>
            <w:r>
              <w:rPr>
                <w:rFonts w:hint="eastAsia"/>
                <w:vertAlign w:val="baseline"/>
                <w:lang w:val="en-US" w:eastAsia="zh-CN"/>
              </w:rPr>
              <w:t>1项</w:t>
            </w:r>
          </w:p>
        </w:tc>
        <w:tc>
          <w:tcPr>
            <w:tcW w:w="463" w:type="dxa"/>
            <w:vAlign w:val="center"/>
          </w:tcPr>
          <w:p w14:paraId="1E7FAC1E">
            <w:pPr>
              <w:jc w:val="center"/>
              <w:rPr>
                <w:rFonts w:hint="default"/>
                <w:vertAlign w:val="baseline"/>
                <w:lang w:val="en-US" w:eastAsia="zh-CN"/>
              </w:rPr>
            </w:pPr>
          </w:p>
        </w:tc>
      </w:tr>
      <w:tr w14:paraId="5A7F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dxa"/>
            <w:vAlign w:val="center"/>
          </w:tcPr>
          <w:p w14:paraId="691DC364">
            <w:pPr>
              <w:jc w:val="center"/>
              <w:rPr>
                <w:rFonts w:hint="default"/>
                <w:vertAlign w:val="baseline"/>
                <w:lang w:val="en-US" w:eastAsia="zh-CN"/>
              </w:rPr>
            </w:pPr>
            <w:r>
              <w:rPr>
                <w:rFonts w:hint="eastAsia"/>
                <w:vertAlign w:val="baseline"/>
                <w:lang w:val="en-US" w:eastAsia="zh-CN"/>
              </w:rPr>
              <w:t>2</w:t>
            </w:r>
          </w:p>
        </w:tc>
        <w:tc>
          <w:tcPr>
            <w:tcW w:w="555" w:type="dxa"/>
            <w:vAlign w:val="center"/>
          </w:tcPr>
          <w:p w14:paraId="491614FD">
            <w:pPr>
              <w:jc w:val="center"/>
              <w:rPr>
                <w:rFonts w:hint="default"/>
                <w:vertAlign w:val="baseline"/>
                <w:lang w:val="en-US" w:eastAsia="zh-CN"/>
              </w:rPr>
            </w:pPr>
            <w:r>
              <w:rPr>
                <w:rFonts w:hint="eastAsia" w:ascii="宋体" w:hAnsi="宋体" w:eastAsia="宋体" w:cs="宋体"/>
                <w:sz w:val="21"/>
                <w:szCs w:val="21"/>
              </w:rPr>
              <w:t>工程科技数字图书馆</w:t>
            </w:r>
          </w:p>
        </w:tc>
        <w:tc>
          <w:tcPr>
            <w:tcW w:w="6675" w:type="dxa"/>
            <w:vAlign w:val="top"/>
          </w:tcPr>
          <w:p w14:paraId="1F5575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 平台资源分为图书、期刊、年鉴、手册、专题、主题库等，平台所有资源均通过精选机械工业出版社历年资源所得，版权明确，内容不存在任何意识形态问题；2. 图书资源学科领域涵盖机械、汽车、电工电子、建筑、计算机、管理、经济、心理、外语、艺术、科普、军事、 农业等既有理工科的资源又包括人文艺术等综合性资源，绝大多数图书为近5年内出版的新书；3. 提供1</w:t>
            </w:r>
            <w:r>
              <w:rPr>
                <w:rFonts w:hint="eastAsia" w:ascii="宋体" w:hAnsi="宋体" w:eastAsia="宋体" w:cs="宋体"/>
                <w:sz w:val="21"/>
                <w:szCs w:val="21"/>
                <w:lang w:val="en-US" w:eastAsia="zh-CN"/>
              </w:rPr>
              <w:t>7</w:t>
            </w:r>
            <w:r>
              <w:rPr>
                <w:rFonts w:hint="eastAsia" w:ascii="宋体" w:hAnsi="宋体" w:eastAsia="宋体" w:cs="宋体"/>
                <w:sz w:val="21"/>
                <w:szCs w:val="21"/>
              </w:rPr>
              <w:t>000+专业领域电子图书，100+行业年鉴，200+手册工具书，21种专业期刊等资源。4.机械工业出版社出版的历年核心经典图书、高科研价值图书等；5.具有权威性、先进性、严谨性的手册工具书，内容涵盖机械工程、电机工程、机械设计、焊接、电线电缆、热处理、铸造、电气工程、建筑、汽修、机电等专业，如《机械设计手册》《机械工程手册》《电机工程手册》等；6.“国际先进技术译丛”系列图书，内容涵盖机械工程、电气工程、信息工程、环境工程、制造业、建筑、汽车等多个领域，该系列图书均为引进版本，技术含量高，代表相关专业的技术前沿，对科学研究、生产实践有较强的指导、借鉴作用；7. 专业期刊资源，内容涉及电气工程、汽车工程、工业工程、制造科学与技术、仪器科学与技术、材料科学与工程等领域，如《机械工程学报》《电气工程学报》《金属加工》《现代制造》等期刊；8. 经管类大师经典图书资源，如彼得·德鲁克、稻盛和夫、菲利普·科特勒、杰克·特劳特等大师的经典经管图书资源；9. 国家最新型基础建设类图书资源，包括5G、特高压、高铁和城市轨道交通、人工智能、大数据、工业互联网、新能源汽车等领域的图书资源；10.本项目服务期为1年，采购人在服务期内可免费无限量使用平台内所有资源，投标人保证在此过程中无任何版权纠纷。技术与服务要求：1.平台支持PC端和移动端（安卓手机、苹果手机、安卓PAD、IPAD等）使用，支持PDF和EPUB两种阅读模式；2. 平台提供的数字资源为高精度数字文件，数据规范准确，提供资源的在线阅读，在线阅读器支持缩放、选取、标注、拷贝等功能；3. 阅读器：pdf 支持目录/书签、搜索、加入书签，放大，缩写，上一页，下一页，重置。Epub支持目录/书签、搜索，加入书签，更换背景颜色，字体放大缩小。支持内容复制 4. 阅读窗口支持全文检索，在检索窗口中输入关键词进入检索结果页面，可显示检索结果条数，检索结果高亮显示，点击检索结果具体条目，可跳转定位至该检索词所在页面；5. 平台用户操作界面支持专业分类、中图法分类、资源检索等多维度的资源展示定位，支持高级检索，可通过书名、ISBN、作者、出版时间等进行检索；6.供应商提供线上和线下使用培训及阅读活动。根据采购人的需求每年提供1-2次；7.资源访问方式为IP端授权和验证码授权两种方式；8.服务期内投标方派专人负责使用过程中的技术指导和问题解决，以保障平台正常运行；售后服务：1、主动进行定期回访，了解用户在使用过程中遇到的问题进行及时解决，以及活动的通知等；2、响应时间</w:t>
            </w:r>
            <w:r>
              <w:rPr>
                <w:rFonts w:hint="eastAsia" w:ascii="宋体" w:hAnsi="宋体" w:eastAsia="宋体" w:cs="宋体"/>
                <w:sz w:val="21"/>
                <w:szCs w:val="21"/>
                <w:lang w:eastAsia="zh-CN"/>
              </w:rPr>
              <w:t>：</w:t>
            </w:r>
            <w:r>
              <w:rPr>
                <w:rFonts w:hint="eastAsia" w:ascii="宋体" w:hAnsi="宋体" w:eastAsia="宋体" w:cs="宋体"/>
                <w:sz w:val="21"/>
                <w:szCs w:val="21"/>
              </w:rPr>
              <w:t>对于用户提出的维护要求，情况允许的可通过远程维护服务来提高响应时间。保障对数字阅读公共服务平台日常运营进行7×24小时维护，对特殊情况提供工作日内4小时的及时响应与必要的现场服务，可持续提供7*24小时运维服务，保障系统全天候稳定运行；</w:t>
            </w:r>
          </w:p>
          <w:p w14:paraId="4033132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vertAlign w:val="baseline"/>
                <w:lang w:val="en-US" w:eastAsia="zh-CN"/>
              </w:rPr>
            </w:pPr>
            <w:r>
              <w:rPr>
                <w:rFonts w:hint="eastAsia" w:ascii="宋体" w:hAnsi="宋体" w:eastAsia="宋体" w:cs="宋体"/>
                <w:sz w:val="21"/>
                <w:szCs w:val="21"/>
              </w:rPr>
              <w:t>3、质保期及更新服务</w:t>
            </w:r>
            <w:r>
              <w:rPr>
                <w:rFonts w:hint="eastAsia" w:ascii="宋体" w:hAnsi="宋体" w:eastAsia="宋体" w:cs="宋体"/>
                <w:sz w:val="21"/>
                <w:szCs w:val="21"/>
                <w:lang w:eastAsia="zh-CN"/>
              </w:rPr>
              <w:t>：</w:t>
            </w:r>
            <w:r>
              <w:rPr>
                <w:rFonts w:hint="eastAsia" w:ascii="宋体" w:hAnsi="宋体" w:eastAsia="宋体" w:cs="宋体"/>
                <w:sz w:val="21"/>
                <w:szCs w:val="21"/>
              </w:rPr>
              <w:t>本项目提供1年免费质保期及资源更新。</w:t>
            </w:r>
            <w:r>
              <w:rPr>
                <w:rFonts w:hint="eastAsia" w:ascii="宋体" w:hAnsi="宋体" w:eastAsia="宋体" w:cs="宋体"/>
                <w:sz w:val="21"/>
                <w:szCs w:val="21"/>
                <w:lang w:val="en-US" w:eastAsia="zh-CN"/>
              </w:rPr>
              <w:t>提供2025年使用权。</w:t>
            </w:r>
          </w:p>
        </w:tc>
        <w:tc>
          <w:tcPr>
            <w:tcW w:w="450" w:type="dxa"/>
            <w:vAlign w:val="center"/>
          </w:tcPr>
          <w:p w14:paraId="6292A6F2">
            <w:pPr>
              <w:jc w:val="center"/>
              <w:rPr>
                <w:rFonts w:hint="default"/>
                <w:vertAlign w:val="baseline"/>
                <w:lang w:val="en-US" w:eastAsia="zh-CN"/>
              </w:rPr>
            </w:pPr>
            <w:r>
              <w:rPr>
                <w:rFonts w:hint="eastAsia"/>
                <w:vertAlign w:val="baseline"/>
                <w:lang w:val="en-US" w:eastAsia="zh-CN"/>
              </w:rPr>
              <w:t>1项</w:t>
            </w:r>
          </w:p>
        </w:tc>
        <w:tc>
          <w:tcPr>
            <w:tcW w:w="463" w:type="dxa"/>
            <w:vAlign w:val="center"/>
          </w:tcPr>
          <w:p w14:paraId="09816D87">
            <w:pPr>
              <w:jc w:val="center"/>
              <w:rPr>
                <w:rFonts w:hint="default"/>
                <w:vertAlign w:val="baseline"/>
                <w:lang w:val="en-US" w:eastAsia="zh-CN"/>
              </w:rPr>
            </w:pPr>
          </w:p>
        </w:tc>
      </w:tr>
    </w:tbl>
    <w:p w14:paraId="39035E6F">
      <w:pPr>
        <w:rPr>
          <w:rFonts w:hint="default"/>
          <w:lang w:val="en-US" w:eastAsia="zh-CN"/>
        </w:rPr>
      </w:pPr>
    </w:p>
    <w:p w14:paraId="3D9FBA9B">
      <w:pPr>
        <w:rPr>
          <w:rFonts w:hint="default"/>
          <w:lang w:val="en-US" w:eastAsia="zh-CN"/>
        </w:rPr>
      </w:pPr>
      <w:bookmarkStart w:id="0" w:name="_GoBack"/>
      <w:bookmarkEnd w:id="0"/>
    </w:p>
    <w:p w14:paraId="66714AAA">
      <w:pPr>
        <w:rPr>
          <w:rFonts w:hint="eastAsia"/>
          <w:lang w:val="en-US" w:eastAsia="zh-CN"/>
        </w:rPr>
      </w:pPr>
      <w:r>
        <w:rPr>
          <w:rFonts w:hint="eastAsia"/>
          <w:lang w:val="en-US" w:eastAsia="zh-CN"/>
        </w:rPr>
        <w:t>合同包2（教学应用类数据库）</w:t>
      </w:r>
    </w:p>
    <w:p w14:paraId="20B93FC2">
      <w:pPr>
        <w:pStyle w:val="2"/>
        <w:numPr>
          <w:ilvl w:val="0"/>
          <w:numId w:val="2"/>
        </w:numPr>
        <w:spacing w:line="240" w:lineRule="auto"/>
        <w:rPr>
          <w:rFonts w:hint="eastAsia"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主要商务要求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5900"/>
      </w:tblGrid>
      <w:tr w14:paraId="0EE9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Align w:val="center"/>
          </w:tcPr>
          <w:p w14:paraId="78D3A1B7">
            <w:pPr>
              <w:widowControl w:val="0"/>
              <w:numPr>
                <w:ilvl w:val="0"/>
                <w:numId w:val="0"/>
              </w:numPr>
              <w:jc w:val="both"/>
              <w:rPr>
                <w:rFonts w:hint="default"/>
                <w:vertAlign w:val="baseline"/>
                <w:lang w:val="en-US" w:eastAsia="zh-CN"/>
              </w:rPr>
            </w:pPr>
            <w:r>
              <w:rPr>
                <w:rFonts w:hint="eastAsia"/>
                <w:vertAlign w:val="baseline"/>
                <w:lang w:val="en-US" w:eastAsia="zh-CN"/>
              </w:rPr>
              <w:t>标的提供的时间</w:t>
            </w:r>
          </w:p>
        </w:tc>
        <w:tc>
          <w:tcPr>
            <w:tcW w:w="5900" w:type="dxa"/>
          </w:tcPr>
          <w:p w14:paraId="63FECEA2">
            <w:pPr>
              <w:widowControl w:val="0"/>
              <w:numPr>
                <w:ilvl w:val="0"/>
                <w:numId w:val="0"/>
              </w:numPr>
              <w:jc w:val="both"/>
              <w:rPr>
                <w:rFonts w:hint="default"/>
                <w:vertAlign w:val="baseline"/>
                <w:lang w:val="en-US" w:eastAsia="zh-CN"/>
              </w:rPr>
            </w:pPr>
            <w:r>
              <w:rPr>
                <w:rFonts w:hint="eastAsia"/>
                <w:vertAlign w:val="baseline"/>
                <w:lang w:val="en-US" w:eastAsia="zh-CN"/>
              </w:rPr>
              <w:t>合同签订后10个日历日内交货</w:t>
            </w:r>
          </w:p>
        </w:tc>
      </w:tr>
      <w:tr w14:paraId="09AA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Align w:val="center"/>
          </w:tcPr>
          <w:p w14:paraId="0162A794">
            <w:pPr>
              <w:widowControl w:val="0"/>
              <w:numPr>
                <w:ilvl w:val="0"/>
                <w:numId w:val="0"/>
              </w:numPr>
              <w:jc w:val="both"/>
              <w:rPr>
                <w:rFonts w:hint="default"/>
                <w:vertAlign w:val="baseline"/>
                <w:lang w:val="en-US" w:eastAsia="zh-CN"/>
              </w:rPr>
            </w:pPr>
            <w:r>
              <w:rPr>
                <w:rFonts w:hint="eastAsia"/>
                <w:vertAlign w:val="baseline"/>
                <w:lang w:val="en-US" w:eastAsia="zh-CN"/>
              </w:rPr>
              <w:t>标的提供的地点</w:t>
            </w:r>
          </w:p>
        </w:tc>
        <w:tc>
          <w:tcPr>
            <w:tcW w:w="5900" w:type="dxa"/>
          </w:tcPr>
          <w:p w14:paraId="3D0CB098">
            <w:pPr>
              <w:widowControl w:val="0"/>
              <w:numPr>
                <w:ilvl w:val="0"/>
                <w:numId w:val="0"/>
              </w:numPr>
              <w:jc w:val="both"/>
              <w:rPr>
                <w:rFonts w:hint="default"/>
                <w:vertAlign w:val="baseline"/>
                <w:lang w:val="en-US" w:eastAsia="zh-CN"/>
              </w:rPr>
            </w:pPr>
            <w:r>
              <w:rPr>
                <w:rFonts w:hint="eastAsia"/>
                <w:vertAlign w:val="baseline"/>
                <w:lang w:val="en-US" w:eastAsia="zh-CN"/>
              </w:rPr>
              <w:t>内蒙古科技大学</w:t>
            </w:r>
          </w:p>
        </w:tc>
      </w:tr>
      <w:tr w14:paraId="075F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Align w:val="center"/>
          </w:tcPr>
          <w:p w14:paraId="35D8BDA1">
            <w:pPr>
              <w:widowControl w:val="0"/>
              <w:numPr>
                <w:ilvl w:val="0"/>
                <w:numId w:val="0"/>
              </w:numPr>
              <w:jc w:val="both"/>
              <w:rPr>
                <w:rFonts w:hint="default"/>
                <w:vertAlign w:val="baseline"/>
                <w:lang w:val="en-US" w:eastAsia="zh-CN"/>
              </w:rPr>
            </w:pPr>
            <w:r>
              <w:rPr>
                <w:rFonts w:hint="eastAsia"/>
                <w:vertAlign w:val="baseline"/>
                <w:lang w:val="en-US" w:eastAsia="zh-CN"/>
              </w:rPr>
              <w:t>付款方式</w:t>
            </w:r>
          </w:p>
        </w:tc>
        <w:tc>
          <w:tcPr>
            <w:tcW w:w="5900" w:type="dxa"/>
          </w:tcPr>
          <w:p w14:paraId="3A53B2F7">
            <w:pPr>
              <w:widowControl w:val="0"/>
              <w:numPr>
                <w:ilvl w:val="0"/>
                <w:numId w:val="0"/>
              </w:numPr>
              <w:jc w:val="both"/>
              <w:rPr>
                <w:rFonts w:hint="default"/>
                <w:vertAlign w:val="baseline"/>
                <w:lang w:val="en-US" w:eastAsia="zh-CN"/>
              </w:rPr>
            </w:pPr>
            <w:r>
              <w:rPr>
                <w:rFonts w:hint="eastAsia"/>
                <w:vertAlign w:val="baseline"/>
                <w:lang w:val="en-US" w:eastAsia="zh-CN"/>
              </w:rPr>
              <w:t>1期：支付比例</w:t>
            </w:r>
            <w:r>
              <w:rPr>
                <w:rFonts w:hint="default"/>
                <w:vertAlign w:val="baseline"/>
                <w:lang w:val="en-US" w:eastAsia="zh-CN"/>
              </w:rPr>
              <w:t>100%</w:t>
            </w:r>
            <w:r>
              <w:rPr>
                <w:rFonts w:hint="eastAsia"/>
                <w:vertAlign w:val="baseline"/>
                <w:lang w:val="en-US" w:eastAsia="zh-CN"/>
              </w:rPr>
              <w:t>，采购人按照设备的配置清单组织相关部门进行验收合格后一次性付款。</w:t>
            </w:r>
          </w:p>
        </w:tc>
      </w:tr>
      <w:tr w14:paraId="3369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Align w:val="center"/>
          </w:tcPr>
          <w:p w14:paraId="0D8978FC">
            <w:pPr>
              <w:widowControl w:val="0"/>
              <w:numPr>
                <w:ilvl w:val="0"/>
                <w:numId w:val="0"/>
              </w:numPr>
              <w:jc w:val="both"/>
              <w:rPr>
                <w:rFonts w:hint="default"/>
                <w:vertAlign w:val="baseline"/>
                <w:lang w:val="en-US" w:eastAsia="zh-CN"/>
              </w:rPr>
            </w:pPr>
            <w:r>
              <w:rPr>
                <w:rFonts w:hint="eastAsia"/>
                <w:vertAlign w:val="baseline"/>
                <w:lang w:val="en-US" w:eastAsia="zh-CN"/>
              </w:rPr>
              <w:t>验收要求</w:t>
            </w:r>
          </w:p>
        </w:tc>
        <w:tc>
          <w:tcPr>
            <w:tcW w:w="5900" w:type="dxa"/>
          </w:tcPr>
          <w:p w14:paraId="03AFFC42">
            <w:pPr>
              <w:widowControl w:val="0"/>
              <w:numPr>
                <w:ilvl w:val="0"/>
                <w:numId w:val="0"/>
              </w:numPr>
              <w:jc w:val="both"/>
              <w:rPr>
                <w:rFonts w:hint="default"/>
                <w:vertAlign w:val="baseline"/>
                <w:lang w:val="en-US" w:eastAsia="zh-CN"/>
              </w:rPr>
            </w:pPr>
            <w:r>
              <w:rPr>
                <w:rFonts w:hint="eastAsia"/>
                <w:vertAlign w:val="baseline"/>
                <w:lang w:val="en-US" w:eastAsia="zh-CN"/>
              </w:rPr>
              <w:t>1期：数据库应按合同中技术、商务要求验收。</w:t>
            </w:r>
          </w:p>
        </w:tc>
      </w:tr>
      <w:tr w14:paraId="5740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Align w:val="center"/>
          </w:tcPr>
          <w:p w14:paraId="21DAF7FC">
            <w:pPr>
              <w:widowControl w:val="0"/>
              <w:numPr>
                <w:ilvl w:val="0"/>
                <w:numId w:val="0"/>
              </w:numPr>
              <w:jc w:val="both"/>
              <w:rPr>
                <w:rFonts w:hint="default"/>
                <w:vertAlign w:val="baseline"/>
                <w:lang w:val="en-US" w:eastAsia="zh-CN"/>
              </w:rPr>
            </w:pPr>
            <w:r>
              <w:rPr>
                <w:rFonts w:hint="eastAsia"/>
                <w:vertAlign w:val="baseline"/>
                <w:lang w:val="en-US" w:eastAsia="zh-CN"/>
              </w:rPr>
              <w:t>履约保证金</w:t>
            </w:r>
          </w:p>
        </w:tc>
        <w:tc>
          <w:tcPr>
            <w:tcW w:w="5900" w:type="dxa"/>
          </w:tcPr>
          <w:p w14:paraId="33F111B7">
            <w:pPr>
              <w:widowControl w:val="0"/>
              <w:numPr>
                <w:ilvl w:val="0"/>
                <w:numId w:val="0"/>
              </w:numPr>
              <w:jc w:val="both"/>
              <w:rPr>
                <w:rFonts w:hint="default"/>
                <w:vertAlign w:val="baseline"/>
                <w:lang w:val="en-US" w:eastAsia="zh-CN"/>
              </w:rPr>
            </w:pPr>
            <w:r>
              <w:rPr>
                <w:rFonts w:hint="eastAsia"/>
                <w:vertAlign w:val="baseline"/>
                <w:lang w:val="en-US" w:eastAsia="zh-CN"/>
              </w:rPr>
              <w:t>合同总金额的3%</w:t>
            </w:r>
          </w:p>
        </w:tc>
      </w:tr>
      <w:tr w14:paraId="1E8B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Align w:val="center"/>
          </w:tcPr>
          <w:p w14:paraId="7A63C764">
            <w:pPr>
              <w:widowControl w:val="0"/>
              <w:numPr>
                <w:ilvl w:val="0"/>
                <w:numId w:val="0"/>
              </w:numPr>
              <w:jc w:val="both"/>
              <w:rPr>
                <w:rFonts w:hint="default"/>
                <w:vertAlign w:val="baseline"/>
                <w:lang w:val="en-US" w:eastAsia="zh-CN"/>
              </w:rPr>
            </w:pPr>
            <w:r>
              <w:rPr>
                <w:rFonts w:hint="eastAsia"/>
                <w:vertAlign w:val="baseline"/>
                <w:lang w:val="en-US" w:eastAsia="zh-CN"/>
              </w:rPr>
              <w:t>其他</w:t>
            </w:r>
          </w:p>
        </w:tc>
        <w:tc>
          <w:tcPr>
            <w:tcW w:w="5900" w:type="dxa"/>
          </w:tcPr>
          <w:p w14:paraId="64E55E29">
            <w:pPr>
              <w:widowControl w:val="0"/>
              <w:numPr>
                <w:ilvl w:val="0"/>
                <w:numId w:val="0"/>
              </w:numPr>
              <w:jc w:val="both"/>
              <w:rPr>
                <w:rFonts w:hint="default"/>
                <w:vertAlign w:val="baseline"/>
                <w:lang w:val="en-US" w:eastAsia="zh-CN"/>
              </w:rPr>
            </w:pPr>
          </w:p>
        </w:tc>
      </w:tr>
    </w:tbl>
    <w:p w14:paraId="77EFE0FA">
      <w:pPr>
        <w:rPr>
          <w:rFonts w:hint="default"/>
          <w:lang w:val="en-US" w:eastAsia="zh-CN"/>
        </w:rPr>
      </w:pPr>
    </w:p>
    <w:p w14:paraId="2C9EB829">
      <w:pPr>
        <w:rPr>
          <w:rFonts w:hint="eastAsia"/>
          <w:lang w:val="en-US" w:eastAsia="zh-CN"/>
        </w:rPr>
      </w:pPr>
      <w:r>
        <w:rPr>
          <w:rFonts w:hint="eastAsia"/>
          <w:lang w:val="en-US" w:eastAsia="zh-CN"/>
        </w:rPr>
        <w:t>附表二、教学应用类数据库</w:t>
      </w:r>
    </w:p>
    <w:tbl>
      <w:tblPr>
        <w:tblStyle w:val="5"/>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423"/>
        <w:gridCol w:w="6735"/>
        <w:gridCol w:w="390"/>
        <w:gridCol w:w="450"/>
      </w:tblGrid>
      <w:tr w14:paraId="735C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391" w:type="dxa"/>
            <w:vAlign w:val="center"/>
          </w:tcPr>
          <w:p w14:paraId="0EC5A235">
            <w:pPr>
              <w:jc w:val="center"/>
              <w:rPr>
                <w:rFonts w:hint="default"/>
                <w:vertAlign w:val="baseline"/>
                <w:lang w:val="en-US" w:eastAsia="zh-CN"/>
              </w:rPr>
            </w:pPr>
            <w:r>
              <w:rPr>
                <w:rFonts w:hint="eastAsia"/>
                <w:vertAlign w:val="baseline"/>
                <w:lang w:val="en-US" w:eastAsia="zh-CN"/>
              </w:rPr>
              <w:t>序号</w:t>
            </w:r>
          </w:p>
        </w:tc>
        <w:tc>
          <w:tcPr>
            <w:tcW w:w="423" w:type="dxa"/>
            <w:vAlign w:val="center"/>
          </w:tcPr>
          <w:p w14:paraId="7903A833">
            <w:pPr>
              <w:jc w:val="center"/>
              <w:rPr>
                <w:rFonts w:hint="default"/>
                <w:vertAlign w:val="baseline"/>
                <w:lang w:val="en-US" w:eastAsia="zh-CN"/>
              </w:rPr>
            </w:pPr>
            <w:r>
              <w:rPr>
                <w:rFonts w:hint="eastAsia"/>
                <w:vertAlign w:val="baseline"/>
                <w:lang w:val="en-US" w:eastAsia="zh-CN"/>
              </w:rPr>
              <w:t>数据库名称</w:t>
            </w:r>
          </w:p>
        </w:tc>
        <w:tc>
          <w:tcPr>
            <w:tcW w:w="6735" w:type="dxa"/>
            <w:vAlign w:val="center"/>
          </w:tcPr>
          <w:p w14:paraId="3F6CF4E8">
            <w:pPr>
              <w:jc w:val="center"/>
              <w:rPr>
                <w:rFonts w:hint="default"/>
                <w:vertAlign w:val="baseline"/>
                <w:lang w:val="en-US" w:eastAsia="zh-CN"/>
              </w:rPr>
            </w:pPr>
            <w:r>
              <w:rPr>
                <w:rFonts w:hint="eastAsia"/>
                <w:vertAlign w:val="baseline"/>
                <w:lang w:val="en-US" w:eastAsia="zh-CN"/>
              </w:rPr>
              <w:t>规格要求</w:t>
            </w:r>
          </w:p>
        </w:tc>
        <w:tc>
          <w:tcPr>
            <w:tcW w:w="390" w:type="dxa"/>
            <w:vAlign w:val="center"/>
          </w:tcPr>
          <w:p w14:paraId="2023B149">
            <w:pPr>
              <w:jc w:val="center"/>
              <w:rPr>
                <w:rFonts w:hint="default"/>
                <w:vertAlign w:val="baseline"/>
                <w:lang w:val="en-US" w:eastAsia="zh-CN"/>
              </w:rPr>
            </w:pPr>
            <w:r>
              <w:rPr>
                <w:rFonts w:hint="eastAsia"/>
                <w:vertAlign w:val="baseline"/>
                <w:lang w:val="en-US" w:eastAsia="zh-CN"/>
              </w:rPr>
              <w:t>数量</w:t>
            </w:r>
          </w:p>
        </w:tc>
        <w:tc>
          <w:tcPr>
            <w:tcW w:w="450" w:type="dxa"/>
            <w:vAlign w:val="center"/>
          </w:tcPr>
          <w:p w14:paraId="642ED2D6">
            <w:pPr>
              <w:jc w:val="center"/>
              <w:rPr>
                <w:rFonts w:hint="default"/>
                <w:vertAlign w:val="baseline"/>
                <w:lang w:val="en-US" w:eastAsia="zh-CN"/>
              </w:rPr>
            </w:pPr>
            <w:r>
              <w:rPr>
                <w:rFonts w:hint="eastAsia"/>
                <w:vertAlign w:val="baseline"/>
                <w:lang w:val="en-US" w:eastAsia="zh-CN"/>
              </w:rPr>
              <w:t>备注</w:t>
            </w:r>
          </w:p>
        </w:tc>
      </w:tr>
      <w:tr w14:paraId="6132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391" w:type="dxa"/>
            <w:vAlign w:val="center"/>
          </w:tcPr>
          <w:p w14:paraId="0029A155">
            <w:pPr>
              <w:jc w:val="center"/>
              <w:rPr>
                <w:rFonts w:hint="default"/>
                <w:vertAlign w:val="baseline"/>
                <w:lang w:val="en-US" w:eastAsia="zh-CN"/>
              </w:rPr>
            </w:pPr>
            <w:r>
              <w:rPr>
                <w:rFonts w:hint="eastAsia"/>
                <w:vertAlign w:val="baseline"/>
                <w:lang w:val="en-US" w:eastAsia="zh-CN"/>
              </w:rPr>
              <w:t>1</w:t>
            </w:r>
          </w:p>
        </w:tc>
        <w:tc>
          <w:tcPr>
            <w:tcW w:w="423" w:type="dxa"/>
            <w:vAlign w:val="center"/>
          </w:tcPr>
          <w:p w14:paraId="63AC84D8">
            <w:pPr>
              <w:jc w:val="both"/>
              <w:rPr>
                <w:rFonts w:hint="default"/>
                <w:vertAlign w:val="baseline"/>
                <w:lang w:val="en-US" w:eastAsia="zh-CN"/>
              </w:rPr>
            </w:pPr>
            <w:r>
              <w:rPr>
                <w:rFonts w:hint="eastAsia" w:ascii="宋体" w:hAnsi="宋体" w:eastAsia="宋体" w:cs="宋体"/>
                <w:sz w:val="21"/>
                <w:szCs w:val="21"/>
                <w:lang w:val="en-US" w:eastAsia="zh-CN"/>
              </w:rPr>
              <w:t>硕博学位论文全文数据库增强版</w:t>
            </w:r>
          </w:p>
        </w:tc>
        <w:tc>
          <w:tcPr>
            <w:tcW w:w="6735" w:type="dxa"/>
            <w:vAlign w:val="top"/>
          </w:tcPr>
          <w:p w14:paraId="01E12FA1">
            <w:pPr>
              <w:jc w:val="both"/>
              <w:rPr>
                <w:rFonts w:hint="default"/>
                <w:lang w:val="en-US" w:eastAsia="zh-CN"/>
              </w:rPr>
            </w:pPr>
            <w:r>
              <w:rPr>
                <w:rFonts w:hint="default" w:ascii="宋体" w:hAnsi="宋体" w:eastAsia="宋体" w:cs="宋体"/>
                <w:sz w:val="21"/>
                <w:szCs w:val="21"/>
                <w:lang w:val="en-US" w:eastAsia="zh-CN"/>
              </w:rPr>
              <w:t>（一）内容要求</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硕博学位论文数据库包含570余万篇增强版学位论文，年增约35万篇，收录的为985、211等重点高校和重点科研院所（包括780家硕士培养单位、530家博士培养单位）的博硕士及博士后论文，年增量35万篇，双周更新。（二）平台要求</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(1)可提供统一检索、高级检索、专业检索等多种检索途径。 (2)支持检索结果的细化分层和多维聚类，不同的资源类型设置不同的排序指标。(3)可对检索结果进行知识关联，实现前沿热点追踪、发展趋势预测以及各类知识关系的可视化呈现。(4)平台提供的文献资源和其它数字化作品，均获得资源提供者的版权许可，为用户提供安全、可靠、稳定的数据资源。</w:t>
            </w:r>
            <w:r>
              <w:rPr>
                <w:rFonts w:hint="eastAsia" w:ascii="宋体" w:hAnsi="宋体" w:eastAsia="宋体" w:cs="宋体"/>
                <w:sz w:val="21"/>
                <w:szCs w:val="21"/>
                <w:lang w:val="en-US" w:eastAsia="zh-CN"/>
              </w:rPr>
              <w:t>提供2025年使用权。</w:t>
            </w:r>
          </w:p>
        </w:tc>
        <w:tc>
          <w:tcPr>
            <w:tcW w:w="390" w:type="dxa"/>
            <w:vAlign w:val="center"/>
          </w:tcPr>
          <w:p w14:paraId="764AE806">
            <w:pPr>
              <w:jc w:val="center"/>
              <w:rPr>
                <w:rFonts w:hint="default"/>
                <w:vertAlign w:val="baseline"/>
                <w:lang w:val="en-US" w:eastAsia="zh-CN"/>
              </w:rPr>
            </w:pPr>
            <w:r>
              <w:rPr>
                <w:rFonts w:hint="eastAsia"/>
                <w:vertAlign w:val="baseline"/>
                <w:lang w:val="en-US" w:eastAsia="zh-CN"/>
              </w:rPr>
              <w:t>1项</w:t>
            </w:r>
          </w:p>
        </w:tc>
        <w:tc>
          <w:tcPr>
            <w:tcW w:w="450" w:type="dxa"/>
          </w:tcPr>
          <w:p w14:paraId="3466D608">
            <w:pPr>
              <w:rPr>
                <w:rFonts w:hint="default"/>
                <w:vertAlign w:val="baseline"/>
                <w:lang w:val="en-US" w:eastAsia="zh-CN"/>
              </w:rPr>
            </w:pPr>
          </w:p>
        </w:tc>
      </w:tr>
      <w:tr w14:paraId="2CD5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trPr>
        <w:tc>
          <w:tcPr>
            <w:tcW w:w="391" w:type="dxa"/>
            <w:vAlign w:val="center"/>
          </w:tcPr>
          <w:p w14:paraId="6FD47584">
            <w:pPr>
              <w:jc w:val="center"/>
              <w:rPr>
                <w:rFonts w:hint="default"/>
                <w:vertAlign w:val="baseline"/>
                <w:lang w:val="en-US" w:eastAsia="zh-CN"/>
              </w:rPr>
            </w:pPr>
            <w:r>
              <w:rPr>
                <w:rFonts w:hint="eastAsia"/>
                <w:vertAlign w:val="baseline"/>
                <w:lang w:val="en-US" w:eastAsia="zh-CN"/>
              </w:rPr>
              <w:t>2</w:t>
            </w:r>
          </w:p>
        </w:tc>
        <w:tc>
          <w:tcPr>
            <w:tcW w:w="423" w:type="dxa"/>
            <w:vAlign w:val="center"/>
          </w:tcPr>
          <w:p w14:paraId="37533B19">
            <w:pPr>
              <w:jc w:val="both"/>
              <w:rPr>
                <w:rFonts w:hint="default"/>
                <w:vertAlign w:val="baseline"/>
                <w:lang w:val="en-US" w:eastAsia="zh-CN"/>
              </w:rPr>
            </w:pPr>
            <w:r>
              <w:rPr>
                <w:rFonts w:hint="eastAsia" w:ascii="宋体" w:hAnsi="宋体" w:eastAsia="宋体" w:cs="宋体"/>
                <w:sz w:val="21"/>
                <w:szCs w:val="21"/>
                <w:lang w:val="en-US" w:eastAsia="zh-CN"/>
              </w:rPr>
              <w:t>中外文学术文献数据库</w:t>
            </w:r>
          </w:p>
        </w:tc>
        <w:tc>
          <w:tcPr>
            <w:tcW w:w="6735" w:type="dxa"/>
            <w:vAlign w:val="top"/>
          </w:tcPr>
          <w:p w14:paraId="6F1BFE3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vertAlign w:val="baseline"/>
                <w:lang w:val="en-US" w:eastAsia="zh-CN"/>
              </w:rPr>
            </w:pPr>
            <w:r>
              <w:rPr>
                <w:rFonts w:hint="eastAsia" w:ascii="宋体" w:hAnsi="宋体" w:eastAsia="宋体" w:cs="宋体"/>
                <w:sz w:val="21"/>
                <w:szCs w:val="21"/>
                <w:lang w:eastAsia="zh-CN"/>
              </w:rPr>
              <w:t>知识发现覆盖的文献数据规模不低于10亿条数据，类型包括中外文的期刊论文、图书、学位论文、会议论文、专利、标准、法律法规、司法案例、报纸、视频。其中中文期刊文献数不少于3亿篇，外文期刊文献数不少于4亿篇，电子图书不少于250万种，学位论文不少于1300万篇，专利不少于1.7亿篇，法规不少于500万篇，司法案例不少于3000万篇。北大核心期刊不少于1990种，SCI期刊文献不少于6500万篇，EI期刊文献不少于2000万篇，scopus期刊文献不少于7000万篇。具备软件开发技术能力，有自主知识产权平台，可无缝对接汇文、金盘等图书管理系统。对接后可以在发现系统直接查看馆藏纸本文献的馆藏地址与当前状态。登录漫游账号后还能够查看个人借阅信息-当前借阅：查看当前已借文献及其后台提供用户概览，能查看用户姓名、类型、学院/部门、学历、邮箱、电话号码、状态、操作等，在操作里可对该用户进行锁定、编辑和删除。还提供用户管理，能对以上信息进行编辑。后台提供系统设置，网站基本信息；基本信息设置，能对网站基本信息，系统名称，LOGO，后台管理密码进行修改。机构IP管理，能对本机构的开始和结束IP，状态、备注、操作进行概览，能进行新增IP，修改和删除IP。机构账号管理，能对现有的账号概览，新增账号，对已有账号进行重置密码和删除。</w:t>
            </w:r>
            <w:r>
              <w:rPr>
                <w:rFonts w:hint="eastAsia" w:ascii="宋体" w:hAnsi="宋体" w:eastAsia="宋体" w:cs="宋体"/>
                <w:sz w:val="21"/>
                <w:szCs w:val="21"/>
                <w:lang w:val="en-US" w:eastAsia="zh-CN"/>
              </w:rPr>
              <w:t>提供2025年使用权。</w:t>
            </w:r>
          </w:p>
        </w:tc>
        <w:tc>
          <w:tcPr>
            <w:tcW w:w="390" w:type="dxa"/>
            <w:vAlign w:val="center"/>
          </w:tcPr>
          <w:p w14:paraId="525F4D01">
            <w:pPr>
              <w:jc w:val="center"/>
              <w:rPr>
                <w:rFonts w:hint="default"/>
                <w:vertAlign w:val="baseline"/>
                <w:lang w:val="en-US" w:eastAsia="zh-CN"/>
              </w:rPr>
            </w:pPr>
            <w:r>
              <w:rPr>
                <w:rFonts w:hint="eastAsia"/>
                <w:vertAlign w:val="baseline"/>
                <w:lang w:val="en-US" w:eastAsia="zh-CN"/>
              </w:rPr>
              <w:t>1项</w:t>
            </w:r>
          </w:p>
        </w:tc>
        <w:tc>
          <w:tcPr>
            <w:tcW w:w="450" w:type="dxa"/>
          </w:tcPr>
          <w:p w14:paraId="6D878A1C">
            <w:pPr>
              <w:rPr>
                <w:rFonts w:hint="default"/>
                <w:vertAlign w:val="baseline"/>
                <w:lang w:val="en-US" w:eastAsia="zh-CN"/>
              </w:rPr>
            </w:pPr>
          </w:p>
        </w:tc>
      </w:tr>
      <w:tr w14:paraId="62BB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91" w:type="dxa"/>
            <w:vAlign w:val="center"/>
          </w:tcPr>
          <w:p w14:paraId="0D808695">
            <w:pPr>
              <w:jc w:val="center"/>
              <w:rPr>
                <w:rFonts w:hint="default"/>
                <w:vertAlign w:val="baseline"/>
                <w:lang w:val="en-US" w:eastAsia="zh-CN"/>
              </w:rPr>
            </w:pPr>
            <w:r>
              <w:rPr>
                <w:rFonts w:hint="eastAsia"/>
                <w:vertAlign w:val="baseline"/>
                <w:lang w:val="en-US" w:eastAsia="zh-CN"/>
              </w:rPr>
              <w:t>3</w:t>
            </w:r>
          </w:p>
        </w:tc>
        <w:tc>
          <w:tcPr>
            <w:tcW w:w="423" w:type="dxa"/>
            <w:vAlign w:val="center"/>
          </w:tcPr>
          <w:p w14:paraId="5E6160AA">
            <w:pPr>
              <w:jc w:val="both"/>
              <w:rPr>
                <w:rFonts w:hint="default"/>
                <w:vertAlign w:val="baseline"/>
                <w:lang w:val="en-US" w:eastAsia="zh-CN"/>
              </w:rPr>
            </w:pPr>
            <w:r>
              <w:rPr>
                <w:rFonts w:hint="eastAsia" w:ascii="宋体" w:hAnsi="宋体" w:eastAsia="宋体" w:cs="宋体"/>
                <w:sz w:val="21"/>
                <w:szCs w:val="21"/>
                <w:lang w:val="en-US" w:eastAsia="zh-CN"/>
              </w:rPr>
              <w:t>智慧服务平台</w:t>
            </w:r>
          </w:p>
        </w:tc>
        <w:tc>
          <w:tcPr>
            <w:tcW w:w="6735" w:type="dxa"/>
            <w:vAlign w:val="top"/>
          </w:tcPr>
          <w:p w14:paraId="4DD866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纸质资产数据仓储维护：每天定时从业务系统的视图中读取更新的OPAC元数据，解析转换格式后同步进数据仓库；2.敏感信息删除或屏蔽维护：定期从公安网监处获取敏感信息，对内容进行删除或屏蔽，同时响应临时特殊处理学校提供的敏感信息删除；3.BUG处理：对图书馆与用户发现的系统BUG进行持续修复，同时持续、主动检查和优化系统BUG，并将优化后的能力更新智慧化学术数据服务平台；4.功能提升：需根据实际需求提升相应系统程序使用体验，包括但不限于原有UI的局部调整改进、现有功能使用流程的优化改进；5.性能优化：持续优化现有系统的性能，包括但不限于：系统安全性、数据检索效率、数据检索精准度；</w:t>
            </w:r>
          </w:p>
          <w:p w14:paraId="5E0DA5D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日常维护：定期清理归档数据，分离读写流程，保障数据库在一个合理高效的处理水平；每天备份数据与程序等防灾处理；监控平台的服务器运行情况，避免平台程序出现重大故障。7.需在服务期内提供云端的分布式大数据平台，支撑资产数据仓库与用户行为存储，负责数据挖掘，运算，清洗，去重等运算分析工作。8.应保证系统整合的第三方接口正常、稳定，当出现由于第三方接口原因导致系统故障，需要配合图书馆与第三方系统厂商完成接口的故障诊断。9.数据格式规范及要求：为规范数据标准，本系统所有数据更新按照数据类型需要统一标准要求。10.数据处理：对于图收割不能提供的数据需要供应商进行数据处理加工。并按照数据筛选标准进行数据归类，形成本系统所需要的元数据文件。11.题录数量的完整性：需要完整地采集服务时限内对象数据库的新增所有数据，包含数据更新题录数据及数据增补题录数据，保持采集数据与原数据相同时间节点的数据统一性；12.题录字段的完整性：需要完整采集数据规范要求的目标数据库字段，对由于采集源数据缺失的，通过定期的数据增补实现数据完整性的不断完善，不能漏采、错采数据字段；</w:t>
            </w:r>
          </w:p>
          <w:p w14:paraId="0D36755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vertAlign w:val="baseline"/>
                <w:lang w:val="en-US" w:eastAsia="zh-CN"/>
              </w:rPr>
            </w:pPr>
            <w:r>
              <w:rPr>
                <w:rFonts w:hint="eastAsia" w:ascii="宋体" w:hAnsi="宋体" w:eastAsia="宋体" w:cs="宋体"/>
                <w:sz w:val="21"/>
                <w:szCs w:val="21"/>
                <w:lang w:eastAsia="zh-CN"/>
              </w:rPr>
              <w:t>13.字段解析的正确性：针对不同数据库采集源的某些字段，由于多个数据库存在分类等字段的不统一性，需要按照统一标准进行规范，在采集过程中对不同定义、不同标准的数据进行定义翻译和转化。14.数据去重：对采集的数据进行去重处理，在去重过程中做好规则判定，不得损坏、错删数据，对于多数据来源的相同数据进行数据打标处理。（去重按照事先约定的规则执行，只保证约定规则内的去重）15.数据质检：对采集完成的数据进行完善的质量检查工作，对发现的错误进行修复或制定新规则重新采集，确保数据的质量。16.数据验证：对已经质检核的数据进行数据验证，验证数据的逻辑性、准确性和原文的可追溯性。17.数据上线：每周对已经处理的数据进行封装并上线，更新检索和应用系统的数据基础池，实现新数据的使用。18.数据质保：在系统使用过程中，供应商不断优化数据提升数据质量，对发现的数据错误进行不断的修复。1</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.服务年限：1年，2</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.咨询服务：可致电客户服务热线、E-mail、QQ、微信等方式提供技术支持。</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.响应服务：7*24小时制的售后维护服务，为图书馆以电话、传真、电子邮件方式，免费提供所买软件的售后服务与技术支持维护。</w:t>
            </w:r>
            <w:r>
              <w:rPr>
                <w:rFonts w:hint="eastAsia" w:ascii="宋体" w:hAnsi="宋体" w:eastAsia="宋体" w:cs="宋体"/>
                <w:sz w:val="21"/>
                <w:szCs w:val="21"/>
                <w:lang w:val="en-US" w:eastAsia="zh-CN"/>
              </w:rPr>
              <w:t>22</w:t>
            </w:r>
            <w:r>
              <w:rPr>
                <w:rFonts w:hint="eastAsia" w:ascii="宋体" w:hAnsi="宋体" w:eastAsia="宋体" w:cs="宋体"/>
                <w:sz w:val="21"/>
                <w:szCs w:val="21"/>
                <w:lang w:eastAsia="zh-CN"/>
              </w:rPr>
              <w:t>.响应分级：在接到图书馆系统故障或优化需求通知后，应根据需求的类别并在相应的时间要求内响应并解决，其响应类型和响应的机制分别为：严重故障：由于系统本身原因产生故障而影响平台核心功能的使用，造成基础业务无法正常开展的故障属严重故障，须12小时内响应并立即进入故障的恢复处理，在处理完成后供应商须向采购人通报故障，分析故障产生的原因、处理的方式及防范措施。接口故障：由于系统整合的第三方平台接口产生的故障，应协助图书馆及时与第三方沟通解决故障问题。5.版权要求：因版权问题而引发的知识产权纠纷由供应商负全部法律责任。</w:t>
            </w:r>
            <w:r>
              <w:rPr>
                <w:rFonts w:hint="eastAsia" w:ascii="宋体" w:hAnsi="宋体" w:eastAsia="宋体" w:cs="宋体"/>
                <w:sz w:val="21"/>
                <w:szCs w:val="21"/>
                <w:lang w:val="en-US" w:eastAsia="zh-CN"/>
              </w:rPr>
              <w:t>提供2025年使用权。</w:t>
            </w:r>
          </w:p>
        </w:tc>
        <w:tc>
          <w:tcPr>
            <w:tcW w:w="390" w:type="dxa"/>
            <w:vAlign w:val="center"/>
          </w:tcPr>
          <w:p w14:paraId="5AB0EB0F">
            <w:pPr>
              <w:jc w:val="center"/>
              <w:rPr>
                <w:rFonts w:hint="default"/>
                <w:vertAlign w:val="baseline"/>
                <w:lang w:val="en-US" w:eastAsia="zh-CN"/>
              </w:rPr>
            </w:pPr>
            <w:r>
              <w:rPr>
                <w:rFonts w:hint="eastAsia"/>
                <w:vertAlign w:val="baseline"/>
                <w:lang w:val="en-US" w:eastAsia="zh-CN"/>
              </w:rPr>
              <w:t>1项</w:t>
            </w:r>
          </w:p>
        </w:tc>
        <w:tc>
          <w:tcPr>
            <w:tcW w:w="450" w:type="dxa"/>
          </w:tcPr>
          <w:p w14:paraId="4FD9300E">
            <w:pPr>
              <w:rPr>
                <w:rFonts w:hint="default"/>
                <w:vertAlign w:val="baseline"/>
                <w:lang w:val="en-US" w:eastAsia="zh-CN"/>
              </w:rPr>
            </w:pPr>
          </w:p>
        </w:tc>
      </w:tr>
      <w:tr w14:paraId="04C4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8" w:hRule="atLeast"/>
        </w:trPr>
        <w:tc>
          <w:tcPr>
            <w:tcW w:w="391" w:type="dxa"/>
            <w:vAlign w:val="center"/>
          </w:tcPr>
          <w:p w14:paraId="69789CE2">
            <w:pPr>
              <w:jc w:val="center"/>
              <w:rPr>
                <w:rFonts w:hint="default"/>
                <w:vertAlign w:val="baseline"/>
                <w:lang w:val="en-US" w:eastAsia="zh-CN"/>
              </w:rPr>
            </w:pPr>
            <w:r>
              <w:rPr>
                <w:rFonts w:hint="eastAsia"/>
                <w:vertAlign w:val="baseline"/>
                <w:lang w:val="en-US" w:eastAsia="zh-CN"/>
              </w:rPr>
              <w:t>4</w:t>
            </w:r>
          </w:p>
        </w:tc>
        <w:tc>
          <w:tcPr>
            <w:tcW w:w="423" w:type="dxa"/>
            <w:vAlign w:val="center"/>
          </w:tcPr>
          <w:p w14:paraId="2AD893AB">
            <w:pPr>
              <w:jc w:val="both"/>
              <w:rPr>
                <w:rFonts w:hint="default"/>
                <w:vertAlign w:val="baseline"/>
                <w:lang w:val="en-US" w:eastAsia="zh-CN"/>
              </w:rPr>
            </w:pPr>
            <w:r>
              <w:rPr>
                <w:rFonts w:hint="eastAsia" w:ascii="宋体" w:hAnsi="宋体" w:eastAsia="宋体" w:cs="宋体"/>
                <w:sz w:val="21"/>
                <w:szCs w:val="21"/>
                <w:lang w:val="en-US" w:eastAsia="zh-CN"/>
              </w:rPr>
              <w:t xml:space="preserve">新学术外文高影响力期刊整合服务平台 </w:t>
            </w:r>
          </w:p>
        </w:tc>
        <w:tc>
          <w:tcPr>
            <w:tcW w:w="6735" w:type="dxa"/>
            <w:vAlign w:val="top"/>
          </w:tcPr>
          <w:p w14:paraId="5285FE75">
            <w:pPr>
              <w:keepNext w:val="0"/>
              <w:keepLines w:val="0"/>
              <w:pageBreakBefore w:val="0"/>
              <w:widowControl/>
              <w:numPr>
                <w:ilvl w:val="0"/>
                <w:numId w:val="3"/>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资源要求：</w:t>
            </w:r>
            <w:r>
              <w:rPr>
                <w:rFonts w:hint="eastAsia" w:ascii="宋体" w:hAnsi="宋体" w:eastAsia="宋体" w:cs="宋体"/>
                <w:sz w:val="21"/>
                <w:szCs w:val="21"/>
                <w:lang w:val="en-US" w:eastAsia="en-US"/>
              </w:rPr>
              <w:t>1、期刊学科领域</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涵盖包括数学、动物学、力学、光学、古生物学、天文学与天体物理学、物理学、化学、生物学、微生物学、通信技术、生物化学与分子生物学、晶体学、逻辑学、机器人学、声学、鸟类学、地球科学、计算机科学、工程技术（土木工程、电子与电气工程、计算机工程、施工与建筑技术、交通运输科技等）、材料科学、环境科学、能源与燃料等在内的</w:t>
            </w:r>
            <w:r>
              <w:rPr>
                <w:rFonts w:hint="eastAsia" w:ascii="宋体" w:hAnsi="宋体" w:eastAsia="宋体" w:cs="宋体"/>
                <w:sz w:val="21"/>
                <w:szCs w:val="21"/>
                <w:lang w:val="en-US" w:eastAsia="zh-CN"/>
              </w:rPr>
              <w:t>28</w:t>
            </w:r>
            <w:r>
              <w:rPr>
                <w:rFonts w:hint="eastAsia" w:ascii="宋体" w:hAnsi="宋体" w:eastAsia="宋体" w:cs="宋体"/>
                <w:sz w:val="21"/>
                <w:szCs w:val="21"/>
                <w:lang w:val="en-US" w:eastAsia="en-US"/>
              </w:rPr>
              <w:t>个细化学科。2、期刊资源数量</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 xml:space="preserve">期刊 </w:t>
            </w:r>
            <w:r>
              <w:rPr>
                <w:rFonts w:hint="eastAsia" w:ascii="宋体" w:hAnsi="宋体" w:eastAsia="宋体" w:cs="宋体"/>
                <w:sz w:val="21"/>
                <w:szCs w:val="21"/>
                <w:lang w:val="en-US" w:eastAsia="zh-CN"/>
              </w:rPr>
              <w:t>超过580</w:t>
            </w:r>
            <w:r>
              <w:rPr>
                <w:rFonts w:hint="eastAsia" w:ascii="宋体" w:hAnsi="宋体" w:eastAsia="宋体" w:cs="宋体"/>
                <w:sz w:val="21"/>
                <w:szCs w:val="21"/>
                <w:lang w:val="en-US" w:eastAsia="en-US"/>
              </w:rPr>
              <w:t>种，文献量</w:t>
            </w:r>
            <w:r>
              <w:rPr>
                <w:rFonts w:hint="eastAsia" w:ascii="宋体" w:hAnsi="宋体" w:eastAsia="宋体" w:cs="宋体"/>
                <w:sz w:val="21"/>
                <w:szCs w:val="21"/>
                <w:lang w:val="en-US" w:eastAsia="zh-CN"/>
              </w:rPr>
              <w:t>超过</w:t>
            </w:r>
            <w:r>
              <w:rPr>
                <w:rFonts w:hint="eastAsia" w:ascii="宋体" w:hAnsi="宋体" w:eastAsia="宋体" w:cs="宋体"/>
                <w:sz w:val="21"/>
                <w:szCs w:val="21"/>
                <w:lang w:val="en-US" w:eastAsia="en-US"/>
              </w:rPr>
              <w:t xml:space="preserve"> 80 万篇。3、平台功能（1）文献标题、摘要一键翻译功能：收录英文文献的标题、摘要可在检索列表页面、文献详情页面实现一键翻译，打破语言壁垒，提高文献调研速率。（2）期刊学科总览功能：支持对平台收录刊物的学科进行查看，已购期刊可根据学科进行聚类查看。（3）期刊总览功能：可实现在期刊总览页面进行刊物检索并对刊物详细信息进行展示。（4）多极化的检索功能：支持基础检索、高级检索、二次检索、期刊总览页刊物检索、指定期刊刊内检索等多样的检索模式。（5）图形摘要功能：文献内重要图表内容经过加工提取，并支持以图形摘要的形式在检索结果页显示，进而为读者提供重要文献信息。（6）检索结果筛选优化功能：检索结果可根据年份、作者、来源期刊等字段规则进行进一步筛选，缩小检索结果范围，辅助读者发现所需重点资源内容。（7）相关文献推送功能：“相关文献”为关注文献的拓展文献，有利于辅助查找到该领域同样有参考价值的内容。热点文献为该领域其他读者点击率较高的文献，有利于指导作者了解行业热点，辅助阅读。（8）快速引用功能：一键复制文献资源的参考文献格式版本的引用信息。二、技术</w:t>
            </w:r>
            <w:r>
              <w:rPr>
                <w:rFonts w:hint="eastAsia" w:ascii="宋体" w:hAnsi="宋体" w:eastAsia="宋体" w:cs="宋体"/>
                <w:sz w:val="21"/>
                <w:szCs w:val="21"/>
                <w:lang w:val="en-US" w:eastAsia="zh-CN"/>
              </w:rPr>
              <w:t>要求：</w:t>
            </w:r>
            <w:r>
              <w:rPr>
                <w:rFonts w:hint="eastAsia" w:ascii="宋体" w:hAnsi="宋体" w:eastAsia="宋体" w:cs="宋体"/>
                <w:sz w:val="21"/>
                <w:szCs w:val="21"/>
                <w:lang w:val="en-US" w:eastAsia="en-US"/>
              </w:rPr>
              <w:t>1、系统结构：本系统采用B/S结构，在提高易用性的同时，降低整体维护成本，并且有利于提高数据的安全性。系统采用PHP+Apache+MySQL 这一开源的且具有优异性能的 Web 服务器应用开发组合。使用 PHP+MySQL 技术构架为核心，由于PHP 几乎可以运行在任何的操作系统中，如 WINDOWS/LINUX/UNIX 等，出色的跨平台的特性，使其开发一次即可应用在任意平台中，避免了重复开发，降低成本。2、开发环境</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 xml:space="preserve">操作系统：WINDOWS XP/7 服务器软件：WAMP/XAMPP </w:t>
            </w:r>
          </w:p>
          <w:p w14:paraId="7EF6A84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数据库软件：MYSQL(WAMP/XAMPP 集成)编译器：Eclipse PHP 3，Dreamweaver CS5，EditPlus</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3、服务器环境</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操作系统：window server 2003服务器软件：IIS</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数据库：MYSQL</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三、商务</w:t>
            </w:r>
            <w:r>
              <w:rPr>
                <w:rFonts w:hint="eastAsia" w:ascii="宋体" w:hAnsi="宋体" w:eastAsia="宋体" w:cs="宋体"/>
                <w:sz w:val="21"/>
                <w:szCs w:val="21"/>
                <w:lang w:val="en-US" w:eastAsia="zh-CN"/>
              </w:rPr>
              <w:t>要求：</w:t>
            </w:r>
            <w:r>
              <w:rPr>
                <w:rFonts w:hint="eastAsia" w:ascii="宋体" w:hAnsi="宋体" w:eastAsia="宋体" w:cs="宋体"/>
                <w:sz w:val="21"/>
                <w:szCs w:val="21"/>
                <w:lang w:val="en-US" w:eastAsia="en-US"/>
              </w:rPr>
              <w:t>（1）安装地点：所有数据按照用户指定方式进行安装（2）安装期：合同签订后30天内完成数据库的使用安排，保障校方能及时用到所需数据.（3）售后服务</w:t>
            </w:r>
          </w:p>
          <w:p w14:paraId="5B35732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 系统维护：每月通过远程对产品运行状况进行一次全面监测，对系统运行管理状况提供管理建议。用户原因造成的产品使用故障，通过电话支持、网络服务等方式协助用户排查。特殊情况下可派技术人员上门服务。产品本身原因造成的使用故障由公司负责排除。2.紧急服务：向机构用户提供产品的紧急备份访问服务，保证用户可持续使用产品。产品本身原因造成的服务中断，备用账号使用到产品恢复正常使用时为止。</w:t>
            </w:r>
          </w:p>
          <w:p w14:paraId="1043268E">
            <w:pPr>
              <w:jc w:val="both"/>
              <w:rPr>
                <w:rFonts w:hint="default"/>
                <w:vertAlign w:val="baseline"/>
                <w:lang w:val="en-US" w:eastAsia="zh-CN"/>
              </w:rPr>
            </w:pPr>
            <w:r>
              <w:rPr>
                <w:rFonts w:hint="eastAsia" w:ascii="宋体" w:hAnsi="宋体" w:eastAsia="宋体" w:cs="宋体"/>
                <w:sz w:val="21"/>
                <w:szCs w:val="21"/>
                <w:lang w:val="en-US" w:eastAsia="en-US"/>
              </w:rPr>
              <w:t>3. 技术支持：提供技术支持、数据维护、数据更新、培训等售后服务，以确保</w:t>
            </w:r>
            <w:r>
              <w:rPr>
                <w:rFonts w:hint="eastAsia" w:ascii="宋体" w:hAnsi="宋体" w:eastAsia="宋体" w:cs="宋体"/>
                <w:sz w:val="21"/>
                <w:szCs w:val="21"/>
                <w:lang w:val="en-US" w:eastAsia="zh-CN"/>
              </w:rPr>
              <w:t>使用方</w:t>
            </w:r>
            <w:r>
              <w:rPr>
                <w:rFonts w:hint="eastAsia" w:ascii="宋体" w:hAnsi="宋体" w:eastAsia="宋体" w:cs="宋体"/>
                <w:sz w:val="21"/>
                <w:szCs w:val="21"/>
                <w:lang w:val="en-US" w:eastAsia="en-US"/>
              </w:rPr>
              <w:t>正常使用。</w:t>
            </w:r>
            <w:r>
              <w:rPr>
                <w:rFonts w:hint="eastAsia" w:ascii="宋体" w:hAnsi="宋体" w:eastAsia="宋体" w:cs="宋体"/>
                <w:sz w:val="21"/>
                <w:szCs w:val="21"/>
                <w:lang w:val="en-US" w:eastAsia="zh-CN"/>
              </w:rPr>
              <w:t>提供2025年使用权。</w:t>
            </w:r>
          </w:p>
        </w:tc>
        <w:tc>
          <w:tcPr>
            <w:tcW w:w="390" w:type="dxa"/>
            <w:vAlign w:val="center"/>
          </w:tcPr>
          <w:p w14:paraId="1777F528">
            <w:pPr>
              <w:jc w:val="center"/>
              <w:rPr>
                <w:rFonts w:hint="default"/>
                <w:vertAlign w:val="baseline"/>
                <w:lang w:val="en-US" w:eastAsia="zh-CN"/>
              </w:rPr>
            </w:pPr>
            <w:r>
              <w:rPr>
                <w:rFonts w:hint="eastAsia"/>
                <w:vertAlign w:val="baseline"/>
                <w:lang w:val="en-US" w:eastAsia="zh-CN"/>
              </w:rPr>
              <w:t>1项</w:t>
            </w:r>
          </w:p>
        </w:tc>
        <w:tc>
          <w:tcPr>
            <w:tcW w:w="450" w:type="dxa"/>
          </w:tcPr>
          <w:p w14:paraId="17E0FABF">
            <w:pPr>
              <w:rPr>
                <w:rFonts w:hint="default"/>
                <w:vertAlign w:val="baseline"/>
                <w:lang w:val="en-US" w:eastAsia="zh-CN"/>
              </w:rPr>
            </w:pPr>
          </w:p>
        </w:tc>
      </w:tr>
      <w:tr w14:paraId="6174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391" w:type="dxa"/>
            <w:vAlign w:val="center"/>
          </w:tcPr>
          <w:p w14:paraId="342508C7">
            <w:pPr>
              <w:jc w:val="center"/>
              <w:rPr>
                <w:rFonts w:hint="default"/>
                <w:vertAlign w:val="baseline"/>
                <w:lang w:val="en-US" w:eastAsia="zh-CN"/>
              </w:rPr>
            </w:pPr>
            <w:r>
              <w:rPr>
                <w:rFonts w:hint="eastAsia"/>
                <w:vertAlign w:val="baseline"/>
                <w:lang w:val="en-US" w:eastAsia="zh-CN"/>
              </w:rPr>
              <w:t>5</w:t>
            </w:r>
          </w:p>
        </w:tc>
        <w:tc>
          <w:tcPr>
            <w:tcW w:w="423" w:type="dxa"/>
            <w:vAlign w:val="center"/>
          </w:tcPr>
          <w:p w14:paraId="6DC36713">
            <w:pPr>
              <w:jc w:val="both"/>
              <w:rPr>
                <w:rFonts w:hint="default"/>
                <w:vertAlign w:val="baseline"/>
                <w:lang w:val="en-US" w:eastAsia="zh-CN"/>
              </w:rPr>
            </w:pPr>
            <w:r>
              <w:rPr>
                <w:rFonts w:hint="eastAsia" w:ascii="宋体" w:hAnsi="宋体" w:eastAsia="宋体" w:cs="宋体"/>
                <w:sz w:val="21"/>
                <w:szCs w:val="21"/>
                <w:lang w:val="en-US" w:eastAsia="zh-CN"/>
              </w:rPr>
              <w:t>电子书数据库</w:t>
            </w:r>
          </w:p>
        </w:tc>
        <w:tc>
          <w:tcPr>
            <w:tcW w:w="6735" w:type="dxa"/>
            <w:vAlign w:val="top"/>
          </w:tcPr>
          <w:p w14:paraId="636E10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rPr>
              <w:t>所有电子书均为出版</w:t>
            </w:r>
            <w:r>
              <w:rPr>
                <w:rFonts w:hint="eastAsia" w:ascii="宋体" w:hAnsi="宋体" w:eastAsia="宋体" w:cs="宋体"/>
                <w:color w:val="000000"/>
                <w:sz w:val="21"/>
                <w:szCs w:val="21"/>
                <w:lang w:val="en-US" w:eastAsia="zh-CN"/>
              </w:rPr>
              <w:t>方</w:t>
            </w:r>
            <w:r>
              <w:rPr>
                <w:rFonts w:hint="eastAsia" w:ascii="宋体" w:hAnsi="宋体" w:eastAsia="宋体" w:cs="宋体"/>
                <w:color w:val="000000"/>
                <w:sz w:val="21"/>
                <w:szCs w:val="21"/>
              </w:rPr>
              <w:t>发行的正版电子出版物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均有合法授权</w:t>
            </w:r>
            <w:r>
              <w:rPr>
                <w:rFonts w:hint="eastAsia" w:ascii="宋体" w:hAnsi="宋体" w:eastAsia="宋体" w:cs="宋体"/>
                <w:color w:val="000000"/>
                <w:sz w:val="21"/>
                <w:szCs w:val="21"/>
                <w:lang w:eastAsia="zh-CN"/>
              </w:rPr>
              <w:t>；</w:t>
            </w:r>
            <w:r>
              <w:rPr>
                <w:rFonts w:hint="eastAsia" w:ascii="宋体" w:hAnsi="宋体" w:eastAsia="宋体" w:cs="宋体"/>
                <w:color w:val="000000"/>
                <w:kern w:val="2"/>
                <w:sz w:val="21"/>
                <w:szCs w:val="21"/>
                <w:lang w:val="en-US" w:eastAsia="zh-CN" w:bidi="ar-SA"/>
              </w:rPr>
              <w:t>2.</w:t>
            </w:r>
            <w:r>
              <w:rPr>
                <w:rFonts w:hint="eastAsia" w:ascii="宋体" w:hAnsi="宋体" w:eastAsia="宋体" w:cs="宋体"/>
                <w:color w:val="000000"/>
                <w:sz w:val="21"/>
                <w:szCs w:val="21"/>
              </w:rPr>
              <w:t>可提供不少于</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0家出版商的版权授权书，包括人民邮电出版社、化学工业出版社、电子工业出版社、</w:t>
            </w:r>
            <w:r>
              <w:rPr>
                <w:rFonts w:hint="eastAsia" w:ascii="宋体" w:hAnsi="宋体" w:eastAsia="宋体" w:cs="宋体"/>
                <w:color w:val="000000"/>
                <w:sz w:val="21"/>
                <w:szCs w:val="21"/>
                <w:lang w:val="en-US" w:eastAsia="zh-CN"/>
              </w:rPr>
              <w:t>机械工业出版社、国防工业出版社、</w:t>
            </w:r>
            <w:r>
              <w:rPr>
                <w:rFonts w:hint="eastAsia" w:ascii="宋体" w:hAnsi="宋体" w:eastAsia="宋体" w:cs="宋体"/>
                <w:color w:val="000000"/>
                <w:sz w:val="21"/>
                <w:szCs w:val="21"/>
              </w:rPr>
              <w:t>北京大学出版社、中国人民大学出版社、清华大学出版社、</w:t>
            </w:r>
            <w:r>
              <w:rPr>
                <w:rFonts w:hint="eastAsia" w:ascii="宋体" w:hAnsi="宋体" w:eastAsia="宋体" w:cs="宋体"/>
                <w:color w:val="000000"/>
                <w:sz w:val="21"/>
                <w:szCs w:val="21"/>
                <w:lang w:val="en-US" w:eastAsia="zh-CN"/>
              </w:rPr>
              <w:t>复旦大学出版社、武汉大学出版社、</w:t>
            </w:r>
            <w:r>
              <w:rPr>
                <w:rFonts w:hint="eastAsia" w:ascii="宋体" w:hAnsi="宋体" w:eastAsia="宋体" w:cs="宋体"/>
                <w:color w:val="000000"/>
                <w:sz w:val="21"/>
                <w:szCs w:val="21"/>
              </w:rPr>
              <w:t>社会科学文献出版社、人民卫生出版社、</w:t>
            </w:r>
            <w:r>
              <w:rPr>
                <w:rFonts w:hint="eastAsia" w:ascii="宋体" w:hAnsi="宋体" w:eastAsia="宋体" w:cs="宋体"/>
                <w:color w:val="000000"/>
                <w:sz w:val="21"/>
                <w:szCs w:val="21"/>
                <w:lang w:val="en-US" w:eastAsia="zh-CN"/>
              </w:rPr>
              <w:t>法律出版社、天津科学技术出版社、中版集团、</w:t>
            </w:r>
            <w:r>
              <w:rPr>
                <w:rFonts w:hint="eastAsia" w:ascii="宋体" w:hAnsi="宋体" w:eastAsia="宋体" w:cs="宋体"/>
                <w:color w:val="000000"/>
                <w:sz w:val="21"/>
                <w:szCs w:val="21"/>
              </w:rPr>
              <w:t>后浪出版公司等重点出版商；</w:t>
            </w:r>
            <w:r>
              <w:rPr>
                <w:rFonts w:hint="eastAsia" w:ascii="宋体" w:hAnsi="宋体" w:eastAsia="宋体" w:cs="宋体"/>
                <w:color w:val="000000"/>
                <w:kern w:val="2"/>
                <w:sz w:val="21"/>
                <w:szCs w:val="21"/>
                <w:lang w:val="en-US" w:eastAsia="zh-CN" w:bidi="ar-SA"/>
              </w:rPr>
              <w:t>3.</w:t>
            </w:r>
            <w:r>
              <w:rPr>
                <w:rFonts w:hint="eastAsia" w:ascii="宋体" w:hAnsi="宋体" w:eastAsia="宋体" w:cs="宋体"/>
                <w:color w:val="000000"/>
                <w:sz w:val="21"/>
                <w:szCs w:val="21"/>
              </w:rPr>
              <w:t>可提供</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万种馆配中文电子书阅读服务</w:t>
            </w:r>
            <w:r>
              <w:rPr>
                <w:rFonts w:hint="eastAsia" w:ascii="宋体" w:hAnsi="宋体" w:eastAsia="宋体" w:cs="宋体"/>
                <w:color w:val="000000"/>
                <w:sz w:val="21"/>
                <w:szCs w:val="21"/>
                <w:lang w:eastAsia="zh-CN"/>
              </w:rPr>
              <w:t>，</w:t>
            </w:r>
            <w:r>
              <w:rPr>
                <w:rFonts w:hint="eastAsia" w:ascii="宋体" w:hAnsi="宋体" w:eastAsia="宋体" w:cs="宋体"/>
                <w:color w:val="000000"/>
                <w:kern w:val="2"/>
                <w:sz w:val="21"/>
                <w:szCs w:val="21"/>
                <w:lang w:val="en-US" w:eastAsia="zh-CN" w:bidi="ar-SA"/>
              </w:rPr>
              <w:t>4.</w:t>
            </w:r>
            <w:r>
              <w:rPr>
                <w:rFonts w:hint="eastAsia" w:ascii="宋体" w:hAnsi="宋体" w:eastAsia="宋体" w:cs="宋体"/>
                <w:color w:val="000000"/>
                <w:sz w:val="21"/>
                <w:szCs w:val="21"/>
                <w:lang w:val="en-US" w:eastAsia="zh-CN"/>
              </w:rPr>
              <w:t>编目数据：</w:t>
            </w:r>
            <w:r>
              <w:rPr>
                <w:rFonts w:hint="eastAsia" w:ascii="宋体" w:hAnsi="宋体" w:eastAsia="宋体" w:cs="宋体"/>
                <w:color w:val="000000"/>
                <w:sz w:val="21"/>
                <w:szCs w:val="21"/>
                <w:lang w:val="zh-CN" w:eastAsia="zh-CN"/>
              </w:rPr>
              <w:t>可提供符合国图标准和CALIS标准的电子图书的CNMARC数据，</w:t>
            </w:r>
            <w:r>
              <w:rPr>
                <w:rFonts w:hint="eastAsia" w:ascii="宋体" w:hAnsi="宋体" w:eastAsia="宋体" w:cs="宋体"/>
                <w:color w:val="000000"/>
                <w:sz w:val="21"/>
                <w:szCs w:val="21"/>
                <w:lang w:val="en-US" w:eastAsia="zh-CN"/>
              </w:rPr>
              <w:t>支持编目入藏，可导入图书馆自动化管理系统，纳入馆藏统计册数，并做图书馆资产管理；</w:t>
            </w:r>
            <w:r>
              <w:rPr>
                <w:rFonts w:hint="eastAsia" w:ascii="宋体" w:hAnsi="宋体" w:eastAsia="宋体" w:cs="宋体"/>
                <w:color w:val="000000"/>
                <w:sz w:val="21"/>
                <w:szCs w:val="21"/>
              </w:rPr>
              <w:t>图书馆采购的电子书可以整合到OPAC系统上</w:t>
            </w:r>
            <w:r>
              <w:rPr>
                <w:rFonts w:hint="eastAsia" w:ascii="宋体" w:hAnsi="宋体" w:eastAsia="宋体" w:cs="宋体"/>
                <w:color w:val="000000"/>
                <w:sz w:val="21"/>
                <w:szCs w:val="21"/>
                <w:lang w:val="en-US" w:eastAsia="zh-CN"/>
              </w:rPr>
              <w:t>实现统一检索和揭示</w:t>
            </w:r>
            <w:r>
              <w:rPr>
                <w:rFonts w:hint="eastAsia" w:ascii="宋体" w:hAnsi="宋体" w:eastAsia="宋体" w:cs="宋体"/>
                <w:color w:val="000000"/>
                <w:sz w:val="21"/>
                <w:szCs w:val="21"/>
              </w:rPr>
              <w:t>；</w:t>
            </w:r>
            <w:r>
              <w:rPr>
                <w:rFonts w:hint="eastAsia" w:ascii="宋体" w:hAnsi="宋体" w:eastAsia="宋体" w:cs="宋体"/>
                <w:color w:val="000000"/>
                <w:kern w:val="2"/>
                <w:sz w:val="21"/>
                <w:szCs w:val="21"/>
                <w:lang w:val="en-US" w:eastAsia="zh-CN" w:bidi="ar-SA"/>
              </w:rPr>
              <w:t>5.</w:t>
            </w:r>
            <w:r>
              <w:rPr>
                <w:rFonts w:hint="eastAsia" w:ascii="宋体" w:hAnsi="宋体" w:eastAsia="宋体" w:cs="宋体"/>
                <w:color w:val="000000"/>
                <w:sz w:val="21"/>
                <w:szCs w:val="21"/>
              </w:rPr>
              <w:t>提供不少于140万种可供纸书书目数据，并和电子书数据整合；</w:t>
            </w:r>
            <w:r>
              <w:rPr>
                <w:rFonts w:hint="eastAsia" w:ascii="宋体" w:hAnsi="宋体" w:eastAsia="宋体" w:cs="宋体"/>
                <w:color w:val="000000"/>
                <w:kern w:val="2"/>
                <w:sz w:val="21"/>
                <w:szCs w:val="21"/>
                <w:lang w:val="en-US" w:eastAsia="zh-CN" w:bidi="ar-SA"/>
              </w:rPr>
              <w:t>6.</w:t>
            </w:r>
            <w:r>
              <w:rPr>
                <w:rFonts w:hint="eastAsia" w:ascii="宋体" w:hAnsi="宋体" w:eastAsia="宋体" w:cs="宋体"/>
                <w:color w:val="000000"/>
                <w:sz w:val="21"/>
                <w:szCs w:val="21"/>
              </w:rPr>
              <w:t>电子书保持纸书原有的版式和原貌，高保真显示；</w:t>
            </w:r>
            <w:r>
              <w:rPr>
                <w:rFonts w:hint="eastAsia" w:ascii="宋体" w:hAnsi="宋体" w:eastAsia="宋体" w:cs="宋体"/>
                <w:color w:val="000000"/>
                <w:kern w:val="2"/>
                <w:sz w:val="21"/>
                <w:szCs w:val="21"/>
                <w:lang w:val="en-US" w:eastAsia="zh-CN" w:bidi="ar-SA"/>
              </w:rPr>
              <w:t>7.</w:t>
            </w:r>
            <w:r>
              <w:rPr>
                <w:rFonts w:hint="eastAsia" w:ascii="宋体" w:hAnsi="宋体" w:eastAsia="宋体" w:cs="宋体"/>
                <w:color w:val="000000"/>
                <w:sz w:val="21"/>
                <w:szCs w:val="21"/>
              </w:rPr>
              <w:t>电子书的文件格式为：EBK</w:t>
            </w:r>
            <w:r>
              <w:rPr>
                <w:rFonts w:hint="eastAsia" w:ascii="宋体" w:hAnsi="宋体" w:eastAsia="宋体" w:cs="宋体"/>
                <w:color w:val="000000"/>
                <w:sz w:val="21"/>
                <w:szCs w:val="21"/>
                <w:lang w:val="en-US" w:eastAsia="zh-CN"/>
              </w:rPr>
              <w:t>\CXBP、</w:t>
            </w:r>
            <w:r>
              <w:rPr>
                <w:rFonts w:hint="eastAsia" w:ascii="宋体" w:hAnsi="宋体" w:eastAsia="宋体" w:cs="宋体"/>
                <w:color w:val="000000"/>
                <w:sz w:val="21"/>
                <w:szCs w:val="21"/>
              </w:rPr>
              <w:t>CXBF</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电子书原文件均为出版社提供的标准排版格式文件转换的矢量格式文件，非扫描PDF文件；</w:t>
            </w:r>
            <w:r>
              <w:rPr>
                <w:rFonts w:hint="eastAsia" w:ascii="宋体" w:hAnsi="宋体" w:eastAsia="宋体" w:cs="宋体"/>
                <w:color w:val="000000"/>
                <w:kern w:val="2"/>
                <w:sz w:val="21"/>
                <w:szCs w:val="21"/>
                <w:lang w:val="en-US" w:eastAsia="zh-CN" w:bidi="ar-SA"/>
              </w:rPr>
              <w:t>8.</w:t>
            </w:r>
            <w:r>
              <w:rPr>
                <w:rFonts w:hint="eastAsia" w:ascii="宋体" w:hAnsi="宋体" w:eastAsia="宋体" w:cs="宋体"/>
                <w:color w:val="000000"/>
                <w:sz w:val="21"/>
                <w:szCs w:val="21"/>
              </w:rPr>
              <w:t>图书馆采购的电子书可以镜像到本地，在内部局域网内使用，并供认证持卡读者远程访问使用；</w:t>
            </w:r>
            <w:r>
              <w:rPr>
                <w:rFonts w:hint="eastAsia" w:ascii="宋体" w:hAnsi="宋体" w:eastAsia="宋体" w:cs="宋体"/>
                <w:color w:val="000000"/>
                <w:kern w:val="2"/>
                <w:sz w:val="21"/>
                <w:szCs w:val="21"/>
                <w:lang w:val="en-US" w:eastAsia="zh-CN" w:bidi="ar-SA"/>
              </w:rPr>
              <w:t>9.</w:t>
            </w:r>
            <w:r>
              <w:rPr>
                <w:rFonts w:hint="eastAsia" w:ascii="宋体" w:hAnsi="宋体" w:eastAsia="宋体" w:cs="宋体"/>
                <w:color w:val="000000"/>
                <w:sz w:val="21"/>
                <w:szCs w:val="21"/>
                <w:lang w:val="en-US" w:eastAsia="zh-CN"/>
              </w:rPr>
              <w:t>图书馆采购的电子书镜像到本地后，可作为馆藏永久保存、陈列，服务于本馆认证读者，电子书平台永久免费升级维护，保证所购电子图书正常使用；</w:t>
            </w:r>
            <w:r>
              <w:rPr>
                <w:rFonts w:hint="eastAsia" w:ascii="宋体" w:hAnsi="宋体" w:eastAsia="宋体" w:cs="宋体"/>
                <w:color w:val="000000"/>
                <w:kern w:val="2"/>
                <w:sz w:val="21"/>
                <w:szCs w:val="21"/>
                <w:lang w:val="en-US" w:eastAsia="zh-CN" w:bidi="ar-SA"/>
              </w:rPr>
              <w:t>10.</w:t>
            </w:r>
            <w:r>
              <w:rPr>
                <w:rFonts w:hint="eastAsia" w:ascii="宋体" w:hAnsi="宋体" w:eastAsia="宋体" w:cs="宋体"/>
                <w:color w:val="000000"/>
                <w:sz w:val="21"/>
                <w:szCs w:val="21"/>
                <w:lang w:val="en-US" w:eastAsia="zh-CN"/>
              </w:rPr>
              <w:t xml:space="preserve"> 纸电</w:t>
            </w:r>
            <w:r>
              <w:rPr>
                <w:rFonts w:hint="eastAsia" w:ascii="宋体" w:hAnsi="宋体" w:eastAsia="宋体" w:cs="宋体"/>
                <w:color w:val="000000"/>
                <w:sz w:val="21"/>
                <w:szCs w:val="21"/>
                <w:lang w:eastAsia="zh-CN"/>
              </w:rPr>
              <w:t>一体化服务：</w:t>
            </w:r>
            <w:r>
              <w:rPr>
                <w:rFonts w:hint="eastAsia" w:ascii="宋体" w:hAnsi="宋体" w:eastAsia="宋体" w:cs="宋体"/>
                <w:color w:val="000000"/>
                <w:sz w:val="21"/>
                <w:szCs w:val="21"/>
                <w:lang w:val="en-US" w:eastAsia="zh-CN"/>
              </w:rPr>
              <w:t>提供超过150万条可供纸书数据，实现纸电一体化业务。老师可在采购电子书时，同步采购其纸本图书，反之，在采购纸书时，可配送电子书，为读者提供纸书和电子书的</w:t>
            </w:r>
            <w:r>
              <w:rPr>
                <w:rFonts w:hint="eastAsia" w:ascii="宋体" w:hAnsi="宋体" w:eastAsia="宋体" w:cs="宋体"/>
                <w:color w:val="000000"/>
                <w:sz w:val="21"/>
                <w:szCs w:val="21"/>
                <w:lang w:eastAsia="zh-CN"/>
              </w:rPr>
              <w:t>一体化</w:t>
            </w:r>
            <w:r>
              <w:rPr>
                <w:rFonts w:hint="eastAsia" w:ascii="宋体" w:hAnsi="宋体" w:eastAsia="宋体" w:cs="宋体"/>
                <w:color w:val="000000"/>
                <w:sz w:val="21"/>
                <w:szCs w:val="21"/>
                <w:lang w:val="en-US" w:eastAsia="zh-CN"/>
              </w:rPr>
              <w:t>荐购服务。</w:t>
            </w:r>
            <w:r>
              <w:rPr>
                <w:rFonts w:hint="eastAsia" w:ascii="宋体" w:hAnsi="宋体" w:eastAsia="宋体" w:cs="宋体"/>
                <w:color w:val="000000"/>
                <w:sz w:val="21"/>
                <w:szCs w:val="21"/>
                <w:lang w:eastAsia="zh-CN"/>
              </w:rPr>
              <w:t>电子书支持编目入藏，</w:t>
            </w:r>
            <w:r>
              <w:rPr>
                <w:rFonts w:hint="eastAsia" w:ascii="宋体" w:hAnsi="宋体" w:eastAsia="宋体" w:cs="宋体"/>
                <w:color w:val="000000"/>
                <w:sz w:val="21"/>
                <w:szCs w:val="21"/>
                <w:lang w:val="en-US" w:eastAsia="zh-CN"/>
              </w:rPr>
              <w:t>可导入图书馆自动化管理系统，纳入馆藏统计册数，并做图书馆资产管理</w:t>
            </w:r>
            <w:r>
              <w:rPr>
                <w:rFonts w:hint="eastAsia" w:ascii="宋体" w:hAnsi="宋体" w:eastAsia="宋体" w:cs="宋体"/>
                <w:color w:val="000000"/>
                <w:sz w:val="21"/>
                <w:szCs w:val="21"/>
                <w:lang w:eastAsia="zh-CN"/>
              </w:rPr>
              <w:t>，在opac系统和发现系统中实现统一检索、揭示和阅读。</w:t>
            </w:r>
          </w:p>
          <w:p w14:paraId="610934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kern w:val="2"/>
                <w:sz w:val="21"/>
                <w:szCs w:val="21"/>
                <w:lang w:val="en-US" w:eastAsia="zh-CN" w:bidi="ar-SA"/>
              </w:rPr>
              <w:t>11.</w:t>
            </w:r>
            <w:r>
              <w:rPr>
                <w:rFonts w:hint="eastAsia" w:ascii="宋体" w:hAnsi="宋体" w:eastAsia="宋体" w:cs="宋体"/>
                <w:color w:val="000000"/>
                <w:sz w:val="21"/>
                <w:szCs w:val="21"/>
                <w:lang w:val="en-US" w:eastAsia="zh-CN"/>
              </w:rPr>
              <w:t>馆藏查重。</w:t>
            </w:r>
            <w:r>
              <w:rPr>
                <w:rFonts w:hint="eastAsia" w:ascii="宋体" w:hAnsi="宋体" w:eastAsia="宋体" w:cs="宋体"/>
                <w:color w:val="000000"/>
                <w:kern w:val="2"/>
                <w:sz w:val="21"/>
                <w:szCs w:val="21"/>
                <w:lang w:val="en-US" w:eastAsia="zh-CN" w:bidi="ar-SA"/>
              </w:rPr>
              <w:t>12.</w:t>
            </w:r>
            <w:r>
              <w:rPr>
                <w:rFonts w:hint="eastAsia" w:ascii="宋体" w:hAnsi="宋体" w:eastAsia="宋体" w:cs="宋体"/>
                <w:color w:val="000000"/>
                <w:sz w:val="21"/>
                <w:szCs w:val="21"/>
                <w:lang w:val="en-US" w:eastAsia="zh-CN"/>
              </w:rPr>
              <w:t xml:space="preserve"> 支持馆藏查重，读者在阅读电子书时可看到该书在本馆的馆藏情况，老师在采购电子书时，也可以与馆藏实时查重，了解该书在图书馆的馆藏复本量、流通次数等馆藏情况，以便科学决策采购。</w:t>
            </w:r>
          </w:p>
          <w:p w14:paraId="17410A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vertAlign w:val="baseline"/>
                <w:lang w:val="en-US" w:eastAsia="zh-CN"/>
              </w:rPr>
            </w:pPr>
            <w:r>
              <w:rPr>
                <w:rFonts w:hint="default" w:asciiTheme="minorHAnsi" w:hAnsiTheme="minorHAnsi" w:eastAsiaTheme="minorEastAsia" w:cstheme="minorBidi"/>
                <w:kern w:val="2"/>
                <w:sz w:val="21"/>
                <w:szCs w:val="24"/>
                <w:vertAlign w:val="baseline"/>
                <w:lang w:val="en-US" w:eastAsia="zh-CN" w:bidi="ar-SA"/>
              </w:rPr>
              <w:t>13.</w:t>
            </w:r>
            <w:r>
              <w:rPr>
                <w:rFonts w:hint="eastAsia" w:ascii="宋体" w:hAnsi="宋体" w:eastAsia="宋体" w:cs="宋体"/>
                <w:color w:val="000000"/>
                <w:sz w:val="21"/>
                <w:szCs w:val="21"/>
                <w:lang w:eastAsia="zh-CN"/>
              </w:rPr>
              <w:t>词典功能，支持词典查询功能，读者在阅读页通过词典功能进行查找相关的字词，词语释义、百科条目、英文翻译等，词典收录了《辞海》（第七版）《汉语大词典》《大辞海》《英汉大词典》《中药大辞典》等近百种优质工具书、超320万词条，提高了阅读的便捷性。想法功能，支持添加“写想法”功能，可以随时记录所思所想；想法内容支持公开或是仅自己可见，公开内容还可以进行点赞和评论。</w:t>
            </w:r>
            <w:r>
              <w:rPr>
                <w:rFonts w:hint="eastAsia" w:ascii="宋体" w:hAnsi="宋体" w:eastAsia="宋体" w:cs="宋体"/>
                <w:sz w:val="21"/>
                <w:szCs w:val="21"/>
                <w:lang w:val="en-US" w:eastAsia="zh-CN"/>
              </w:rPr>
              <w:t>提供2025年使用权。</w:t>
            </w:r>
          </w:p>
        </w:tc>
        <w:tc>
          <w:tcPr>
            <w:tcW w:w="390" w:type="dxa"/>
            <w:vAlign w:val="center"/>
          </w:tcPr>
          <w:p w14:paraId="7A6F0382">
            <w:pPr>
              <w:jc w:val="center"/>
              <w:rPr>
                <w:rFonts w:hint="default"/>
                <w:vertAlign w:val="baseline"/>
                <w:lang w:val="en-US" w:eastAsia="zh-CN"/>
              </w:rPr>
            </w:pPr>
            <w:r>
              <w:rPr>
                <w:rFonts w:hint="eastAsia"/>
                <w:vertAlign w:val="baseline"/>
                <w:lang w:val="en-US" w:eastAsia="zh-CN"/>
              </w:rPr>
              <w:t>1项</w:t>
            </w:r>
          </w:p>
        </w:tc>
        <w:tc>
          <w:tcPr>
            <w:tcW w:w="450" w:type="dxa"/>
          </w:tcPr>
          <w:p w14:paraId="1F0BA053">
            <w:pPr>
              <w:rPr>
                <w:rFonts w:hint="default"/>
                <w:vertAlign w:val="baseline"/>
                <w:lang w:val="en-US" w:eastAsia="zh-CN"/>
              </w:rPr>
            </w:pPr>
          </w:p>
        </w:tc>
      </w:tr>
      <w:tr w14:paraId="5EB2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391" w:type="dxa"/>
            <w:vAlign w:val="center"/>
          </w:tcPr>
          <w:p w14:paraId="3C749189">
            <w:pPr>
              <w:jc w:val="center"/>
              <w:rPr>
                <w:rFonts w:hint="default"/>
                <w:vertAlign w:val="baseline"/>
                <w:lang w:val="en-US" w:eastAsia="zh-CN"/>
              </w:rPr>
            </w:pPr>
            <w:r>
              <w:rPr>
                <w:rFonts w:hint="eastAsia"/>
                <w:vertAlign w:val="baseline"/>
                <w:lang w:val="en-US" w:eastAsia="zh-CN"/>
              </w:rPr>
              <w:t>6</w:t>
            </w:r>
          </w:p>
        </w:tc>
        <w:tc>
          <w:tcPr>
            <w:tcW w:w="423" w:type="dxa"/>
            <w:vAlign w:val="center"/>
          </w:tcPr>
          <w:p w14:paraId="380CF270">
            <w:pPr>
              <w:jc w:val="center"/>
              <w:rPr>
                <w:rFonts w:hint="default"/>
                <w:vertAlign w:val="baseline"/>
                <w:lang w:val="en-US" w:eastAsia="zh-CN"/>
              </w:rPr>
            </w:pPr>
            <w:r>
              <w:rPr>
                <w:rFonts w:hint="eastAsia" w:ascii="宋体" w:hAnsi="宋体" w:eastAsia="宋体" w:cs="宋体"/>
                <w:sz w:val="21"/>
                <w:szCs w:val="21"/>
                <w:lang w:val="en-US" w:eastAsia="zh-CN"/>
              </w:rPr>
              <w:t>文献资源数据库</w:t>
            </w:r>
          </w:p>
        </w:tc>
        <w:tc>
          <w:tcPr>
            <w:tcW w:w="6735" w:type="dxa"/>
            <w:vAlign w:val="top"/>
          </w:tcPr>
          <w:p w14:paraId="36CD7352">
            <w:pPr>
              <w:widowControl/>
              <w:numPr>
                <w:ilvl w:val="0"/>
                <w:numId w:val="4"/>
              </w:numPr>
              <w:jc w:val="left"/>
              <w:rPr>
                <w:rFonts w:hint="eastAsia" w:ascii="宋体" w:hAnsi="宋体" w:eastAsia="宋体" w:cs="宋体"/>
                <w:szCs w:val="21"/>
                <w:lang w:eastAsia="zh-CN"/>
              </w:rPr>
            </w:pPr>
            <w:r>
              <w:rPr>
                <w:rFonts w:hint="eastAsia" w:ascii="宋体" w:hAnsi="宋体" w:eastAsia="宋体" w:cs="宋体"/>
                <w:szCs w:val="21"/>
              </w:rPr>
              <w:t>中文文献知识库</w:t>
            </w:r>
            <w:r>
              <w:rPr>
                <w:rFonts w:hint="eastAsia" w:ascii="宋体" w:hAnsi="宋体" w:eastAsia="宋体" w:cs="宋体"/>
                <w:szCs w:val="21"/>
                <w:lang w:eastAsia="zh-CN"/>
              </w:rPr>
              <w:t>：</w:t>
            </w:r>
          </w:p>
          <w:p w14:paraId="10C06488">
            <w:pPr>
              <w:widowControl/>
              <w:numPr>
                <w:ilvl w:val="0"/>
                <w:numId w:val="0"/>
              </w:numPr>
              <w:jc w:val="left"/>
              <w:rPr>
                <w:rFonts w:ascii="宋体" w:hAnsi="宋体" w:eastAsia="宋体" w:cs="宋体"/>
                <w:szCs w:val="21"/>
              </w:rPr>
            </w:pPr>
            <w:r>
              <w:rPr>
                <w:rFonts w:hint="eastAsia" w:ascii="宋体" w:hAnsi="宋体" w:eastAsia="宋体" w:cs="宋体"/>
                <w:szCs w:val="21"/>
              </w:rPr>
              <w:t>1.平台需满足书名、作者、主题词等基本字段搜索、章节名称搜索、正文搜索。2.提供二次搜索，且提供布尔逻辑的高级搜索、专业搜索等功能。3.平台需支持知识点搜索，用户可在图书资料中通过搜索找到所需知识点并直接阅读，阅读中提供文字提取、查看来源等功能。4.平台需涵盖知识点、图书类型，为读者提供海量信息资源多面搜索服务。5.平台中至少包含700万种中文图书信息，涵盖中国图书馆分类法22个分类，每个分类细分到第三级子类。6.平台需支持千余家单位馆藏的联合目录查询。7.平台支持纸质图书和电子图书统一检索，平台支持按照馆藏纸书和电子图书进行筛选。且针对图书的检索结果可按照类型、年代、学科、作者进行筛选。8.平台可以提供图书试读功能，可以对封面页、前言页、目次页、版权页、正文部分页等进行试读。9.平台需提供通过Email的方式向读者进行文献资源的传递服务，可提供文献传递服务的图书总量不低于349万种。10.对于本馆没有的图书，需支持荐购功能，有关图书信息不需手动填写，系统自动填充。11.提供中外文词典翻译、同义词、相关词、共现词的提示。12.需要能查询到图书的被引用情况。提供100年来中文图书被引用情况的分析，尤其可对每种中文图书是否有被引用及具体的被引用情况进行查询，从而作为评价中文图书学术影响力的重要指标和依据。</w:t>
            </w:r>
            <w:r>
              <w:rPr>
                <w:rFonts w:hint="eastAsia" w:ascii="宋体" w:hAnsi="宋体" w:eastAsia="宋体" w:cs="宋体"/>
                <w:sz w:val="21"/>
                <w:szCs w:val="21"/>
                <w:lang w:val="en-US" w:eastAsia="zh-CN"/>
              </w:rPr>
              <w:t>提供2025年使用权。</w:t>
            </w:r>
          </w:p>
          <w:p w14:paraId="7DAFB2B5">
            <w:pPr>
              <w:widowControl/>
              <w:jc w:val="left"/>
              <w:rPr>
                <w:rFonts w:ascii="宋体" w:hAnsi="宋体" w:eastAsia="宋体" w:cs="宋体"/>
                <w:szCs w:val="21"/>
              </w:rPr>
            </w:pPr>
            <w:r>
              <w:rPr>
                <w:rFonts w:hint="eastAsia" w:ascii="宋体" w:hAnsi="宋体" w:eastAsia="宋体" w:cs="宋体"/>
                <w:szCs w:val="21"/>
              </w:rPr>
              <w:t>二、移动图书馆</w:t>
            </w:r>
          </w:p>
          <w:p w14:paraId="42D2F460">
            <w:pPr>
              <w:widowControl/>
              <w:jc w:val="left"/>
              <w:rPr>
                <w:rFonts w:ascii="宋体" w:hAnsi="宋体" w:eastAsia="宋体" w:cs="宋体"/>
                <w:szCs w:val="21"/>
              </w:rPr>
            </w:pPr>
            <w:r>
              <w:rPr>
                <w:rFonts w:hint="eastAsia" w:ascii="宋体" w:hAnsi="宋体" w:eastAsia="宋体" w:cs="宋体"/>
                <w:szCs w:val="21"/>
              </w:rPr>
              <w:t>1 要求可与图书馆OPAC系统完成统一认证。</w:t>
            </w:r>
            <w:r>
              <w:rPr>
                <w:rFonts w:ascii="宋体" w:hAnsi="宋体" w:eastAsia="宋体" w:cs="宋体"/>
                <w:szCs w:val="21"/>
              </w:rPr>
              <w:t>2</w:t>
            </w:r>
            <w:r>
              <w:rPr>
                <w:rFonts w:hint="eastAsia" w:ascii="宋体" w:hAnsi="宋体" w:eastAsia="宋体" w:cs="宋体"/>
                <w:szCs w:val="21"/>
              </w:rPr>
              <w:t>基于本馆opac系统功能，要求在手机终端具备馆图书馆公告浏览、热门检索词展示、馆藏书目查询、馆藏复本情况、在架信息、个人借阅信息查看、在线续借、催还信息告知、电子读者证等功能。3要求通过手机APP端扫描图书馆纸质图书条形码，可实时查看对应该图书所在的馆藏架位信息和可借阅情况，无纸本馆藏时可直接查看本书对应的电子版，并实现手机下载，文献传递等全文获取方式。</w:t>
            </w:r>
            <w:r>
              <w:rPr>
                <w:rFonts w:ascii="宋体" w:hAnsi="宋体" w:eastAsia="宋体" w:cs="宋体"/>
                <w:szCs w:val="21"/>
              </w:rPr>
              <w:t>4</w:t>
            </w:r>
            <w:r>
              <w:rPr>
                <w:rFonts w:hint="eastAsia" w:ascii="宋体" w:hAnsi="宋体" w:eastAsia="宋体" w:cs="宋体"/>
                <w:szCs w:val="21"/>
              </w:rPr>
              <w:t>移动图书馆可在不同移动终端上阅读访问。提供适合手机使用的图书资源，需包含图书封面信息、目录及在手机中完成试读，并且通过移动图书馆，可以查询到全国的馆藏信息。</w:t>
            </w:r>
            <w:r>
              <w:rPr>
                <w:rFonts w:ascii="宋体" w:hAnsi="宋体" w:eastAsia="宋体" w:cs="宋体"/>
                <w:szCs w:val="21"/>
              </w:rPr>
              <w:t>5</w:t>
            </w:r>
            <w:r>
              <w:rPr>
                <w:rFonts w:hint="eastAsia" w:ascii="宋体" w:hAnsi="宋体" w:eastAsia="宋体" w:cs="宋体"/>
                <w:szCs w:val="21"/>
              </w:rPr>
              <w:t xml:space="preserve"> 提供适合手机使用的且具有完全自主知识产权的视频，支持有声读物播放，为满足读者视听需求，移动图书馆视频内嵌资源量要求不少于1万集。需提供视频目录，便于查验。</w:t>
            </w:r>
            <w:r>
              <w:rPr>
                <w:rFonts w:ascii="宋体" w:hAnsi="宋体" w:eastAsia="宋体" w:cs="宋体"/>
                <w:szCs w:val="21"/>
              </w:rPr>
              <w:t>6</w:t>
            </w:r>
            <w:r>
              <w:rPr>
                <w:rFonts w:hint="eastAsia" w:ascii="宋体" w:hAnsi="宋体" w:eastAsia="宋体" w:cs="宋体"/>
                <w:szCs w:val="21"/>
              </w:rPr>
              <w:t xml:space="preserve"> 整合的期刊、论文等摘要页面要显示相关文献来源，且能提供适合移动设备的链接访问，并提供文献传递服务。</w:t>
            </w:r>
            <w:r>
              <w:rPr>
                <w:rFonts w:ascii="宋体" w:hAnsi="宋体" w:eastAsia="宋体" w:cs="宋体"/>
                <w:szCs w:val="21"/>
              </w:rPr>
              <w:t>7</w:t>
            </w:r>
            <w:r>
              <w:rPr>
                <w:rFonts w:hint="eastAsia" w:ascii="宋体" w:hAnsi="宋体" w:eastAsia="宋体" w:cs="宋体"/>
                <w:szCs w:val="21"/>
              </w:rPr>
              <w:t xml:space="preserve"> 提供各类资源导航，包括图书、期刊、讲座等，并实现热门资源的推荐。</w:t>
            </w:r>
          </w:p>
          <w:p w14:paraId="64ECE797">
            <w:pPr>
              <w:widowControl/>
              <w:jc w:val="left"/>
              <w:rPr>
                <w:rFonts w:ascii="宋体" w:hAnsi="宋体" w:eastAsia="宋体" w:cs="宋体"/>
                <w:szCs w:val="21"/>
              </w:rPr>
            </w:pPr>
            <w:r>
              <w:rPr>
                <w:rFonts w:ascii="宋体" w:hAnsi="宋体" w:eastAsia="宋体" w:cs="宋体"/>
                <w:szCs w:val="21"/>
              </w:rPr>
              <w:t>8</w:t>
            </w:r>
            <w:r>
              <w:rPr>
                <w:rFonts w:hint="eastAsia" w:ascii="宋体" w:hAnsi="宋体" w:eastAsia="宋体" w:cs="宋体"/>
                <w:szCs w:val="21"/>
              </w:rPr>
              <w:t xml:space="preserve"> 提供多种全文获取方式，本馆有全文可直接阅读，无全文的可通过与已有的文献传递系统对接，将文献发送到读者的邮箱。</w:t>
            </w:r>
            <w:r>
              <w:rPr>
                <w:rFonts w:ascii="宋体" w:hAnsi="宋体" w:eastAsia="宋体" w:cs="宋体"/>
                <w:szCs w:val="21"/>
              </w:rPr>
              <w:t>9</w:t>
            </w:r>
            <w:r>
              <w:rPr>
                <w:rFonts w:hint="eastAsia" w:ascii="宋体" w:hAnsi="宋体" w:eastAsia="宋体" w:cs="宋体"/>
                <w:szCs w:val="21"/>
              </w:rPr>
              <w:t xml:space="preserve"> 通过系统访问本馆的资源，不受IP限制，通过认证针对读者进行权限控制，使用移动终端设备连接网络，可在任何地点访问。</w:t>
            </w:r>
            <w:r>
              <w:rPr>
                <w:rFonts w:ascii="宋体" w:hAnsi="宋体" w:eastAsia="宋体" w:cs="宋体"/>
                <w:szCs w:val="21"/>
              </w:rPr>
              <w:t>10</w:t>
            </w:r>
            <w:r>
              <w:rPr>
                <w:rFonts w:hint="eastAsia" w:ascii="宋体" w:hAnsi="宋体" w:eastAsia="宋体" w:cs="宋体"/>
                <w:szCs w:val="21"/>
              </w:rPr>
              <w:t xml:space="preserve"> 支持各类型智能手机：图书馆的文献资源全文可以通过各种类型手持设备进行统一访问，自适应安卓(android)、苹果（iphone）等各类手机。在全文展示页面可以选择字体的大小和夜间模式。</w:t>
            </w:r>
            <w:r>
              <w:rPr>
                <w:rFonts w:ascii="宋体" w:hAnsi="宋体" w:eastAsia="宋体" w:cs="宋体"/>
                <w:szCs w:val="21"/>
              </w:rPr>
              <w:t>11</w:t>
            </w:r>
            <w:r>
              <w:rPr>
                <w:rFonts w:hint="eastAsia" w:ascii="宋体" w:hAnsi="宋体" w:eastAsia="宋体" w:cs="宋体"/>
                <w:szCs w:val="21"/>
              </w:rPr>
              <w:t>各类数据库的支持：在检索详细页面上，可以提供适合手机的阅读格式。</w:t>
            </w:r>
            <w:r>
              <w:rPr>
                <w:rFonts w:ascii="宋体" w:hAnsi="宋体" w:eastAsia="宋体" w:cs="宋体"/>
                <w:szCs w:val="21"/>
              </w:rPr>
              <w:t>12</w:t>
            </w:r>
            <w:r>
              <w:rPr>
                <w:rFonts w:hint="eastAsia" w:ascii="宋体" w:hAnsi="宋体" w:eastAsia="宋体" w:cs="宋体"/>
                <w:szCs w:val="21"/>
              </w:rPr>
              <w:t xml:space="preserve"> 用户在用手机查找文献时，可提出申请将检索结果直接发送到个人邮箱。</w:t>
            </w:r>
            <w:r>
              <w:rPr>
                <w:rFonts w:ascii="宋体" w:hAnsi="宋体" w:eastAsia="宋体" w:cs="宋体"/>
                <w:szCs w:val="21"/>
              </w:rPr>
              <w:t>13</w:t>
            </w:r>
            <w:r>
              <w:rPr>
                <w:rFonts w:hint="eastAsia" w:ascii="宋体" w:hAnsi="宋体" w:eastAsia="宋体" w:cs="宋体"/>
                <w:szCs w:val="21"/>
              </w:rPr>
              <w:t xml:space="preserve"> 实现平台统一检索，形成一站式检索图书馆的电子资源。电子期刊检索、图书检索、论文检索等均在一个搜索框和页面切换，一体化操作。</w:t>
            </w:r>
            <w:r>
              <w:rPr>
                <w:rFonts w:ascii="宋体" w:hAnsi="宋体" w:eastAsia="宋体" w:cs="宋体"/>
                <w:szCs w:val="21"/>
              </w:rPr>
              <w:t>14</w:t>
            </w:r>
            <w:r>
              <w:rPr>
                <w:rFonts w:hint="eastAsia" w:ascii="宋体" w:hAnsi="宋体" w:eastAsia="宋体" w:cs="宋体"/>
                <w:szCs w:val="21"/>
              </w:rPr>
              <w:t xml:space="preserve"> 支持检索结果筛选，支持多种筛选模式，如按时间，标题等。</w:t>
            </w:r>
            <w:r>
              <w:rPr>
                <w:rFonts w:ascii="宋体" w:hAnsi="宋体" w:eastAsia="宋体" w:cs="宋体"/>
                <w:szCs w:val="21"/>
              </w:rPr>
              <w:t>15</w:t>
            </w:r>
            <w:r>
              <w:rPr>
                <w:rFonts w:hint="eastAsia" w:ascii="宋体" w:hAnsi="宋体" w:eastAsia="宋体" w:cs="宋体"/>
                <w:szCs w:val="21"/>
              </w:rPr>
              <w:t>支持全文检索服务，可定位到相关图书的具体页数，支持在线阅读相关页。</w:t>
            </w:r>
            <w:r>
              <w:rPr>
                <w:rFonts w:ascii="宋体" w:hAnsi="宋体" w:eastAsia="宋体" w:cs="宋体"/>
                <w:szCs w:val="21"/>
              </w:rPr>
              <w:t>16</w:t>
            </w:r>
            <w:r>
              <w:rPr>
                <w:rFonts w:hint="eastAsia" w:ascii="宋体" w:hAnsi="宋体" w:eastAsia="宋体" w:cs="宋体"/>
                <w:szCs w:val="21"/>
              </w:rPr>
              <w:t>支持横屏阅读，可进行批注，标示等操作。</w:t>
            </w:r>
            <w:r>
              <w:rPr>
                <w:rFonts w:ascii="宋体" w:hAnsi="宋体" w:eastAsia="宋体" w:cs="宋体"/>
                <w:szCs w:val="21"/>
              </w:rPr>
              <w:t>17</w:t>
            </w:r>
            <w:r>
              <w:rPr>
                <w:rFonts w:hint="eastAsia" w:ascii="宋体" w:hAnsi="宋体" w:eastAsia="宋体" w:cs="宋体"/>
                <w:szCs w:val="21"/>
              </w:rPr>
              <w:t xml:space="preserve"> 提供适合不同手机阅读的EPUB格式热门图书，不少于3万种。图书分类包含经典名著、小说传记、经管理财、历史军事、人生哲学、人文社科、生活保健、文学艺术、政治法律等分类。</w:t>
            </w:r>
            <w:r>
              <w:rPr>
                <w:rFonts w:ascii="宋体" w:hAnsi="宋体" w:eastAsia="宋体" w:cs="宋体"/>
                <w:szCs w:val="21"/>
              </w:rPr>
              <w:t>18</w:t>
            </w:r>
            <w:r>
              <w:rPr>
                <w:rFonts w:hint="eastAsia" w:ascii="宋体" w:hAnsi="宋体" w:eastAsia="宋体" w:cs="宋体"/>
                <w:szCs w:val="21"/>
              </w:rPr>
              <w:t>提供适合广大读者学习的经典视频10000集，包含清华大学、北京大学、复旦大学等名校的课程视频及讲座，可以在线进行播放。</w:t>
            </w:r>
            <w:r>
              <w:rPr>
                <w:rFonts w:ascii="宋体" w:hAnsi="宋体" w:eastAsia="宋体" w:cs="宋体"/>
                <w:szCs w:val="21"/>
              </w:rPr>
              <w:t>19</w:t>
            </w:r>
            <w:r>
              <w:rPr>
                <w:rFonts w:hint="eastAsia" w:ascii="宋体" w:hAnsi="宋体" w:eastAsia="宋体" w:cs="宋体"/>
                <w:szCs w:val="21"/>
              </w:rPr>
              <w:t>提供不少于15000集听书资源。听书资源需提供包含传奇史话、古代历史、人物传记、国学经典、中国文学、世界名著等分类，最多可提供30余种分类。</w:t>
            </w:r>
            <w:r>
              <w:rPr>
                <w:rFonts w:ascii="宋体" w:hAnsi="宋体" w:eastAsia="宋体" w:cs="宋体"/>
                <w:szCs w:val="21"/>
              </w:rPr>
              <w:t>20</w:t>
            </w:r>
            <w:r>
              <w:rPr>
                <w:rFonts w:hint="eastAsia" w:ascii="宋体" w:hAnsi="宋体" w:eastAsia="宋体" w:cs="宋体"/>
                <w:szCs w:val="21"/>
              </w:rPr>
              <w:t xml:space="preserve"> 提供文献传递服务，并且接入全国图书馆参考咨询联盟建立的云传递共享平台。中文文献传递满足率达到95%以上。传递的文献能够随时随地打开阅读。</w:t>
            </w:r>
            <w:r>
              <w:rPr>
                <w:rFonts w:ascii="宋体" w:hAnsi="宋体" w:eastAsia="宋体" w:cs="宋体"/>
                <w:szCs w:val="21"/>
              </w:rPr>
              <w:t>21</w:t>
            </w:r>
            <w:r>
              <w:rPr>
                <w:rFonts w:hint="eastAsia" w:ascii="宋体" w:hAnsi="宋体" w:eastAsia="宋体" w:cs="宋体"/>
                <w:szCs w:val="21"/>
              </w:rPr>
              <w:t xml:space="preserve"> 移动学术资源模块提供包括图书、章节、期刊、视频、论文等多维度的资源，可进行统一检索，且资源频道提供了导航服务。</w:t>
            </w:r>
            <w:r>
              <w:rPr>
                <w:rFonts w:ascii="宋体" w:hAnsi="宋体" w:eastAsia="宋体" w:cs="宋体"/>
                <w:szCs w:val="21"/>
              </w:rPr>
              <w:t>22</w:t>
            </w:r>
            <w:r>
              <w:rPr>
                <w:rFonts w:hint="eastAsia" w:ascii="宋体" w:hAnsi="宋体" w:eastAsia="宋体" w:cs="宋体"/>
                <w:szCs w:val="21"/>
              </w:rPr>
              <w:t xml:space="preserve"> 微读书模块精选从经典图书中摘录精彩片段分享笔记，可通过片段读经典。</w:t>
            </w:r>
            <w:r>
              <w:rPr>
                <w:rFonts w:ascii="宋体" w:hAnsi="宋体" w:eastAsia="宋体" w:cs="宋体"/>
                <w:szCs w:val="21"/>
              </w:rPr>
              <w:t>23</w:t>
            </w:r>
            <w:r>
              <w:rPr>
                <w:rFonts w:hint="eastAsia" w:ascii="宋体" w:hAnsi="宋体" w:eastAsia="宋体" w:cs="宋体"/>
                <w:szCs w:val="21"/>
              </w:rPr>
              <w:t xml:space="preserve"> 提供完善的主题书单功能，主题书单还支持图书馆按需进行自定义配置。</w:t>
            </w:r>
            <w:r>
              <w:rPr>
                <w:rFonts w:ascii="宋体" w:hAnsi="宋体" w:eastAsia="宋体" w:cs="宋体"/>
                <w:szCs w:val="21"/>
              </w:rPr>
              <w:t>24</w:t>
            </w:r>
            <w:r>
              <w:rPr>
                <w:rFonts w:hint="eastAsia" w:ascii="宋体" w:hAnsi="宋体" w:eastAsia="宋体" w:cs="宋体"/>
                <w:szCs w:val="21"/>
              </w:rPr>
              <w:t>每日新书模块，根据不同主题推荐图书，每日更新。</w:t>
            </w:r>
            <w:r>
              <w:rPr>
                <w:rFonts w:ascii="宋体" w:hAnsi="宋体" w:eastAsia="宋体" w:cs="宋体"/>
                <w:szCs w:val="21"/>
              </w:rPr>
              <w:t>25</w:t>
            </w:r>
            <w:r>
              <w:rPr>
                <w:rFonts w:hint="eastAsia" w:ascii="宋体" w:hAnsi="宋体" w:eastAsia="宋体" w:cs="宋体"/>
                <w:szCs w:val="21"/>
              </w:rPr>
              <w:t xml:space="preserve"> 线下扫码阅读，扫线下机器上的二维码，即可阅读图书，并且加入书房或下载到书架。</w:t>
            </w:r>
            <w:r>
              <w:rPr>
                <w:rFonts w:ascii="宋体" w:hAnsi="宋体" w:eastAsia="宋体" w:cs="宋体"/>
                <w:szCs w:val="21"/>
              </w:rPr>
              <w:t>26</w:t>
            </w:r>
            <w:r>
              <w:rPr>
                <w:rFonts w:hint="eastAsia" w:ascii="宋体" w:hAnsi="宋体" w:eastAsia="宋体" w:cs="宋体"/>
                <w:szCs w:val="21"/>
              </w:rPr>
              <w:t>为读者提供个人空间，可添加图书、视频、期刊、讲座等资源，方便读者查找及阅读。</w:t>
            </w:r>
            <w:r>
              <w:rPr>
                <w:rFonts w:ascii="宋体" w:hAnsi="宋体" w:eastAsia="宋体" w:cs="宋体"/>
                <w:szCs w:val="21"/>
              </w:rPr>
              <w:t>27</w:t>
            </w:r>
            <w:r>
              <w:rPr>
                <w:rFonts w:hint="eastAsia" w:ascii="宋体" w:hAnsi="宋体" w:eastAsia="宋体" w:cs="宋体"/>
                <w:szCs w:val="21"/>
              </w:rPr>
              <w:t xml:space="preserve"> 信息发布管理系统：实现本馆资讯分类管理，以及新闻资源的动态发布。</w:t>
            </w:r>
            <w:r>
              <w:rPr>
                <w:rFonts w:ascii="宋体" w:hAnsi="宋体" w:eastAsia="宋体" w:cs="宋体"/>
                <w:szCs w:val="21"/>
              </w:rPr>
              <w:t>28</w:t>
            </w:r>
            <w:r>
              <w:rPr>
                <w:rFonts w:hint="eastAsia" w:ascii="宋体" w:hAnsi="宋体" w:eastAsia="宋体" w:cs="宋体"/>
                <w:szCs w:val="21"/>
              </w:rPr>
              <w:t xml:space="preserve"> 预约登记系统：读者在来访之前可进行预约登记，同时可在线上对图书馆座位进行预约，方便管理。</w:t>
            </w:r>
            <w:r>
              <w:rPr>
                <w:rFonts w:ascii="宋体" w:hAnsi="宋体" w:eastAsia="宋体" w:cs="宋体"/>
                <w:szCs w:val="21"/>
              </w:rPr>
              <w:t>29</w:t>
            </w:r>
            <w:r>
              <w:rPr>
                <w:rFonts w:hint="eastAsia" w:ascii="宋体" w:hAnsi="宋体" w:eastAsia="宋体" w:cs="宋体"/>
                <w:szCs w:val="21"/>
              </w:rPr>
              <w:t xml:space="preserve"> 智慧直播系统</w:t>
            </w:r>
            <w:r>
              <w:rPr>
                <w:rFonts w:hint="eastAsia" w:ascii="宋体" w:hAnsi="宋体" w:eastAsia="宋体" w:cs="宋体"/>
                <w:szCs w:val="21"/>
                <w:lang w:eastAsia="zh-CN"/>
              </w:rPr>
              <w:t>，</w:t>
            </w:r>
            <w:r>
              <w:rPr>
                <w:rFonts w:hint="eastAsia" w:ascii="宋体" w:hAnsi="宋体" w:eastAsia="宋体" w:cs="宋体"/>
                <w:szCs w:val="21"/>
              </w:rPr>
              <w:t>用户可在小程序端、APP端查看正在直播、往期直播、精彩预告等。具备强大的导播系统，可以实现多样的视频源接入，多画面导播，且拥有强大的图层编辑、虚拟演播等功能。</w:t>
            </w:r>
            <w:r>
              <w:rPr>
                <w:rFonts w:ascii="宋体" w:hAnsi="宋体" w:eastAsia="宋体" w:cs="宋体"/>
                <w:szCs w:val="21"/>
              </w:rPr>
              <w:t>30</w:t>
            </w:r>
            <w:r>
              <w:rPr>
                <w:rFonts w:hint="eastAsia" w:ascii="宋体" w:hAnsi="宋体" w:eastAsia="宋体" w:cs="宋体"/>
                <w:szCs w:val="21"/>
              </w:rPr>
              <w:t>. APP端、小程序端提供作品征集平台，支持上传图片、文字、视频等格式的作品，可设置对作品的投票、点赞、评论等操作权限。</w:t>
            </w:r>
            <w:r>
              <w:rPr>
                <w:rFonts w:ascii="宋体" w:hAnsi="宋体" w:eastAsia="宋体" w:cs="宋体"/>
                <w:szCs w:val="21"/>
              </w:rPr>
              <w:t>31.</w:t>
            </w:r>
            <w:r>
              <w:rPr>
                <w:rFonts w:hint="eastAsia" w:ascii="宋体" w:hAnsi="宋体" w:eastAsia="宋体" w:cs="宋体"/>
                <w:szCs w:val="21"/>
              </w:rPr>
              <w:t>APP端支持配置阅读积分大赛，通过看视频、做测评、读经典、观直播等获得积分，进行排行。（1）提供阅读积分资源内容，书籍数量不少于200本，名师导读视频资源不少于50集，测试题目不少于400条，包含国学经典、中国文学、世界文学、人类思想、历史文明、艺术审美、科学技术、经济社会等不同类型的资源目录体系。（2）支持单位自定义学习时间，以及定制个性化学习内容。（3）支持根据单位要求进行积分规则和达标积分数进行设置，支持对登录、视频观看、阅读、答题讨论、笔记等考核维度和积分规则设置。</w:t>
            </w:r>
            <w:r>
              <w:rPr>
                <w:rFonts w:ascii="宋体" w:hAnsi="宋体" w:eastAsia="宋体" w:cs="宋体"/>
                <w:szCs w:val="21"/>
              </w:rPr>
              <w:t>32</w:t>
            </w:r>
            <w:r>
              <w:rPr>
                <w:rFonts w:hint="eastAsia" w:ascii="宋体" w:hAnsi="宋体" w:eastAsia="宋体" w:cs="宋体"/>
                <w:szCs w:val="21"/>
              </w:rPr>
              <w:t xml:space="preserve"> APP端、小程序端提供图书共读功能，通过共同阅读一本书深入了解原著，支持打卡、书评、排行。</w:t>
            </w:r>
            <w:r>
              <w:rPr>
                <w:rFonts w:ascii="宋体" w:hAnsi="宋体" w:eastAsia="宋体" w:cs="宋体"/>
                <w:szCs w:val="21"/>
              </w:rPr>
              <w:t>33.</w:t>
            </w:r>
            <w:r>
              <w:rPr>
                <w:rFonts w:hint="eastAsia" w:ascii="宋体" w:hAnsi="宋体" w:eastAsia="宋体" w:cs="宋体"/>
                <w:szCs w:val="21"/>
              </w:rPr>
              <w:t>APP端、小程序端提供知识闯关模块，通过灵活配置的活动规则，答题+阅读的方式调动用户的阅读积极性。</w:t>
            </w:r>
            <w:r>
              <w:rPr>
                <w:rFonts w:ascii="宋体" w:hAnsi="宋体" w:eastAsia="宋体" w:cs="宋体"/>
                <w:szCs w:val="21"/>
              </w:rPr>
              <w:t>34.</w:t>
            </w:r>
            <w:r>
              <w:rPr>
                <w:rFonts w:hint="eastAsia" w:ascii="宋体" w:hAnsi="宋体" w:eastAsia="宋体" w:cs="宋体"/>
                <w:szCs w:val="21"/>
              </w:rPr>
              <w:t>APP端、小程序端提供朗读模块，可以生成朗读作品，进行分享。</w:t>
            </w:r>
            <w:r>
              <w:rPr>
                <w:rFonts w:ascii="宋体" w:hAnsi="宋体" w:eastAsia="宋体" w:cs="宋体"/>
                <w:szCs w:val="21"/>
              </w:rPr>
              <w:t>35.</w:t>
            </w:r>
            <w:r>
              <w:rPr>
                <w:rFonts w:hint="eastAsia" w:ascii="宋体" w:hAnsi="宋体" w:eastAsia="宋体" w:cs="宋体"/>
                <w:szCs w:val="21"/>
              </w:rPr>
              <w:t>提供“我的积分”，用户可实时查看积分明细，积分明细包含积分日期、积分收入数量、积分来源说明等详细信息。</w:t>
            </w:r>
            <w:r>
              <w:rPr>
                <w:rFonts w:ascii="宋体" w:hAnsi="宋体" w:eastAsia="宋体" w:cs="宋体"/>
                <w:szCs w:val="21"/>
              </w:rPr>
              <w:t>36.</w:t>
            </w:r>
            <w:r>
              <w:rPr>
                <w:rFonts w:hint="eastAsia" w:ascii="宋体" w:hAnsi="宋体" w:eastAsia="宋体" w:cs="宋体"/>
                <w:szCs w:val="21"/>
              </w:rPr>
              <w:t>用户可在个人空间查看个人在本单位积分排名，可查看总榜、月榜、近七日排行榜。</w:t>
            </w:r>
            <w:r>
              <w:rPr>
                <w:rFonts w:ascii="宋体" w:hAnsi="宋体" w:eastAsia="宋体" w:cs="宋体"/>
                <w:szCs w:val="21"/>
              </w:rPr>
              <w:t>37.</w:t>
            </w:r>
            <w:r>
              <w:rPr>
                <w:rFonts w:hint="eastAsia" w:ascii="宋体" w:hAnsi="宋体" w:eastAsia="宋体" w:cs="宋体"/>
                <w:szCs w:val="21"/>
              </w:rPr>
              <w:t>支持对首页资源管理：实现首页图书、期刊、视频、听书、绘本等资源的添加、删除。</w:t>
            </w:r>
            <w:r>
              <w:rPr>
                <w:rFonts w:ascii="宋体" w:hAnsi="宋体" w:eastAsia="宋体" w:cs="宋体"/>
                <w:szCs w:val="21"/>
              </w:rPr>
              <w:t>38</w:t>
            </w:r>
            <w:r>
              <w:rPr>
                <w:rFonts w:hint="eastAsia" w:ascii="宋体" w:hAnsi="宋体" w:eastAsia="宋体" w:cs="宋体"/>
                <w:szCs w:val="21"/>
              </w:rPr>
              <w:t>首页轮播图管理：实现轮播图的添加、修改、删除。</w:t>
            </w:r>
            <w:r>
              <w:rPr>
                <w:rFonts w:ascii="宋体" w:hAnsi="宋体" w:eastAsia="宋体" w:cs="宋体"/>
                <w:szCs w:val="21"/>
              </w:rPr>
              <w:t>39</w:t>
            </w:r>
            <w:r>
              <w:rPr>
                <w:rFonts w:hint="eastAsia" w:ascii="宋体" w:hAnsi="宋体" w:eastAsia="宋体" w:cs="宋体"/>
                <w:szCs w:val="21"/>
              </w:rPr>
              <w:t>支持多终端统一后台管理：实现后台对APP端、公众号端、小程序端</w:t>
            </w:r>
            <w:r>
              <w:rPr>
                <w:rFonts w:hint="eastAsia" w:ascii="宋体" w:hAnsi="宋体" w:eastAsia="宋体" w:cs="宋体"/>
                <w:szCs w:val="21"/>
                <w:lang w:eastAsia="zh-CN"/>
              </w:rPr>
              <w:t>。</w:t>
            </w:r>
            <w:r>
              <w:rPr>
                <w:rFonts w:ascii="宋体" w:hAnsi="宋体" w:eastAsia="宋体" w:cs="宋体"/>
                <w:szCs w:val="21"/>
              </w:rPr>
              <w:t>40.</w:t>
            </w:r>
            <w:r>
              <w:rPr>
                <w:rFonts w:hint="eastAsia" w:ascii="宋体" w:hAnsi="宋体" w:eastAsia="宋体" w:cs="宋体"/>
                <w:szCs w:val="21"/>
              </w:rPr>
              <w:t xml:space="preserve"> 界面要求自适应手机终端尺寸，符合手机用户使用习惯。除提供基于安卓、苹果系统的客户端外，还需提供小程序、微信公众号建设，实现全终端覆盖。</w:t>
            </w:r>
            <w:r>
              <w:rPr>
                <w:rFonts w:ascii="宋体" w:hAnsi="宋体" w:eastAsia="宋体" w:cs="宋体"/>
                <w:szCs w:val="21"/>
              </w:rPr>
              <w:t>41.</w:t>
            </w:r>
            <w:r>
              <w:rPr>
                <w:rFonts w:hint="eastAsia" w:ascii="宋体" w:hAnsi="宋体" w:eastAsia="宋体" w:cs="宋体"/>
                <w:szCs w:val="21"/>
              </w:rPr>
              <w:t>APP支持设置护眼模式，清空缓存信息，支持中英文语言设置。</w:t>
            </w:r>
            <w:r>
              <w:rPr>
                <w:rFonts w:ascii="宋体" w:hAnsi="宋体" w:eastAsia="宋体" w:cs="宋体"/>
                <w:szCs w:val="21"/>
              </w:rPr>
              <w:t>42.</w:t>
            </w:r>
            <w:r>
              <w:rPr>
                <w:rFonts w:hint="eastAsia" w:ascii="宋体" w:hAnsi="宋体" w:eastAsia="宋体" w:cs="宋体"/>
                <w:szCs w:val="21"/>
              </w:rPr>
              <w:t>系统需具备分享功能，可分享至微信等社交平台。</w:t>
            </w:r>
            <w:r>
              <w:rPr>
                <w:rFonts w:hint="eastAsia" w:ascii="宋体" w:hAnsi="宋体" w:eastAsia="宋体" w:cs="宋体"/>
                <w:sz w:val="21"/>
                <w:szCs w:val="21"/>
                <w:lang w:val="en-US" w:eastAsia="zh-CN"/>
              </w:rPr>
              <w:t>提供2025年使用权。</w:t>
            </w:r>
          </w:p>
          <w:p w14:paraId="275846E8">
            <w:pPr>
              <w:widowControl/>
              <w:jc w:val="left"/>
              <w:rPr>
                <w:rFonts w:ascii="宋体" w:hAnsi="宋体" w:eastAsia="宋体" w:cs="宋体"/>
                <w:szCs w:val="21"/>
              </w:rPr>
            </w:pPr>
            <w:r>
              <w:rPr>
                <w:rFonts w:hint="eastAsia" w:ascii="宋体" w:hAnsi="宋体" w:eastAsia="宋体" w:cs="宋体"/>
                <w:szCs w:val="21"/>
              </w:rPr>
              <w:t>三、云图书馆</w:t>
            </w:r>
          </w:p>
          <w:p w14:paraId="3108C7A4">
            <w:pPr>
              <w:widowControl/>
              <w:jc w:val="left"/>
              <w:rPr>
                <w:rFonts w:ascii="宋体" w:hAnsi="宋体" w:eastAsia="宋体" w:cs="宋体"/>
                <w:szCs w:val="21"/>
              </w:rPr>
            </w:pPr>
            <w:r>
              <w:rPr>
                <w:rFonts w:hint="eastAsia" w:ascii="宋体" w:hAnsi="宋体" w:eastAsia="宋体" w:cs="宋体"/>
                <w:szCs w:val="21"/>
              </w:rPr>
              <w:t>1.支持统一检索,实现基于中外文资源元数据的检索，可以针对期刊/学位论文/会议论文/报纸/视频等模块同时检索，并可以实现各模块独立检索。2.通过资源调度openURL规则允许定义获取中外文原文资源链接在网页的调用位置和方式。3.检索对期刊/学位论文/会议论文/报纸/视频等模块中任何一种资源时，同时显示其他全部相关资源信息。4.元数据支持自动去除数据中重复内容，并自动提取题名、刊名目录等关键字段。</w:t>
            </w:r>
          </w:p>
          <w:p w14:paraId="496C1D3C">
            <w:pPr>
              <w:widowControl/>
              <w:jc w:val="left"/>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.文献传递系统和元数据仓储的统一检索系统集成，检索系统将申请传递功能自动内嵌。</w:t>
            </w:r>
            <w:r>
              <w:rPr>
                <w:rFonts w:ascii="宋体" w:hAnsi="宋体" w:eastAsia="宋体" w:cs="宋体"/>
                <w:szCs w:val="21"/>
              </w:rPr>
              <w:t>6</w:t>
            </w:r>
            <w:r>
              <w:rPr>
                <w:rFonts w:hint="eastAsia" w:ascii="宋体" w:hAnsi="宋体" w:eastAsia="宋体" w:cs="宋体"/>
                <w:szCs w:val="21"/>
              </w:rPr>
              <w:t>.对于本馆资源之外资源可以实现整合的图书馆相互文献传递。</w:t>
            </w:r>
            <w:r>
              <w:rPr>
                <w:rFonts w:ascii="宋体" w:hAnsi="宋体" w:eastAsia="宋体" w:cs="宋体"/>
                <w:szCs w:val="21"/>
              </w:rPr>
              <w:t>7</w:t>
            </w:r>
            <w:r>
              <w:rPr>
                <w:rFonts w:hint="eastAsia" w:ascii="宋体" w:hAnsi="宋体" w:eastAsia="宋体" w:cs="宋体"/>
                <w:szCs w:val="21"/>
              </w:rPr>
              <w:t>.提供文献传递功能及文献传递管理处理后台。</w:t>
            </w:r>
            <w:r>
              <w:rPr>
                <w:rFonts w:ascii="宋体" w:hAnsi="宋体" w:eastAsia="宋体" w:cs="宋体"/>
                <w:szCs w:val="21"/>
              </w:rPr>
              <w:t>8</w:t>
            </w:r>
            <w:r>
              <w:rPr>
                <w:rFonts w:hint="eastAsia" w:ascii="宋体" w:hAnsi="宋体" w:eastAsia="宋体" w:cs="宋体"/>
                <w:szCs w:val="21"/>
              </w:rPr>
              <w:t>.文献传递系统应可嵌入在资源检索系统中，根据检索结果可直接发请求到文献传递系统。</w:t>
            </w:r>
            <w:r>
              <w:rPr>
                <w:rFonts w:ascii="宋体" w:hAnsi="宋体" w:eastAsia="宋体" w:cs="宋体"/>
                <w:szCs w:val="21"/>
              </w:rPr>
              <w:t>9</w:t>
            </w:r>
            <w:r>
              <w:rPr>
                <w:rFonts w:hint="eastAsia" w:ascii="宋体" w:hAnsi="宋体" w:eastAsia="宋体" w:cs="宋体"/>
                <w:szCs w:val="21"/>
              </w:rPr>
              <w:t>.参考咨询员工作量统计；1）统计数据揭示字段：咨询标题、类型（期刊或其他）、数据来源（数据库）、读者单位名称、提交时间等。</w:t>
            </w:r>
          </w:p>
          <w:p w14:paraId="30D0FA50">
            <w:pPr>
              <w:widowControl/>
              <w:jc w:val="left"/>
              <w:rPr>
                <w:rFonts w:ascii="宋体" w:hAnsi="宋体" w:eastAsia="宋体" w:cs="宋体"/>
                <w:szCs w:val="21"/>
              </w:rPr>
            </w:pPr>
            <w:r>
              <w:rPr>
                <w:rFonts w:hint="eastAsia" w:ascii="宋体" w:hAnsi="宋体" w:eastAsia="宋体" w:cs="宋体"/>
                <w:szCs w:val="21"/>
              </w:rPr>
              <w:t>2）统计界面提供按“读者单位”、“邮箱”、“咨询标题”等字段检索。</w:t>
            </w:r>
            <w:r>
              <w:rPr>
                <w:rFonts w:ascii="宋体" w:hAnsi="宋体" w:eastAsia="宋体" w:cs="宋体"/>
                <w:szCs w:val="21"/>
              </w:rPr>
              <w:t>10</w:t>
            </w:r>
            <w:r>
              <w:rPr>
                <w:rFonts w:hint="eastAsia" w:ascii="宋体" w:hAnsi="宋体" w:eastAsia="宋体" w:cs="宋体"/>
                <w:szCs w:val="21"/>
              </w:rPr>
              <w:t>.整合中文期刊不少于2万种，整合外文期刊不少于6万种。</w:t>
            </w:r>
            <w:r>
              <w:rPr>
                <w:rFonts w:ascii="宋体" w:hAnsi="宋体" w:eastAsia="宋体" w:cs="宋体"/>
                <w:szCs w:val="21"/>
              </w:rPr>
              <w:t>11</w:t>
            </w:r>
            <w:r>
              <w:rPr>
                <w:rFonts w:hint="eastAsia" w:ascii="宋体" w:hAnsi="宋体" w:eastAsia="宋体" w:cs="宋体"/>
                <w:szCs w:val="21"/>
              </w:rPr>
              <w:t>.整合的全国其它图书馆数不少于1000家。</w:t>
            </w:r>
            <w:r>
              <w:rPr>
                <w:rFonts w:ascii="宋体" w:hAnsi="宋体" w:eastAsia="宋体" w:cs="宋体"/>
                <w:szCs w:val="21"/>
              </w:rPr>
              <w:t>12</w:t>
            </w:r>
            <w:r>
              <w:rPr>
                <w:rFonts w:hint="eastAsia" w:ascii="宋体" w:hAnsi="宋体" w:eastAsia="宋体" w:cs="宋体"/>
                <w:szCs w:val="21"/>
              </w:rPr>
              <w:t>.涵盖不少于500余个中外文数据库资源，提交数据库清单。</w:t>
            </w:r>
            <w:r>
              <w:rPr>
                <w:rFonts w:ascii="宋体" w:hAnsi="宋体" w:eastAsia="宋体" w:cs="宋体"/>
                <w:szCs w:val="21"/>
              </w:rPr>
              <w:t>13</w:t>
            </w:r>
            <w:r>
              <w:rPr>
                <w:rFonts w:hint="eastAsia" w:ascii="宋体" w:hAnsi="宋体" w:eastAsia="宋体" w:cs="宋体"/>
                <w:szCs w:val="21"/>
              </w:rPr>
              <w:t>.检索时间反馈为秒级；查全率应为90%以上。</w:t>
            </w:r>
          </w:p>
          <w:p w14:paraId="0A919661">
            <w:pPr>
              <w:widowControl/>
              <w:jc w:val="left"/>
              <w:rPr>
                <w:rFonts w:ascii="宋体" w:hAnsi="宋体" w:eastAsia="宋体" w:cs="宋体"/>
                <w:szCs w:val="21"/>
              </w:rPr>
            </w:pPr>
            <w:r>
              <w:rPr>
                <w:rFonts w:ascii="宋体" w:hAnsi="宋体" w:eastAsia="宋体" w:cs="宋体"/>
                <w:szCs w:val="21"/>
              </w:rPr>
              <w:t>14</w:t>
            </w:r>
            <w:r>
              <w:rPr>
                <w:rFonts w:hint="eastAsia" w:ascii="宋体" w:hAnsi="宋体" w:eastAsia="宋体" w:cs="宋体"/>
                <w:szCs w:val="21"/>
              </w:rPr>
              <w:t>.期刊检索结果具有按照年代、学科、刊种等信息的聚类功能。</w:t>
            </w:r>
            <w:r>
              <w:rPr>
                <w:rFonts w:ascii="宋体" w:hAnsi="宋体" w:eastAsia="宋体" w:cs="宋体"/>
                <w:szCs w:val="21"/>
              </w:rPr>
              <w:t>15</w:t>
            </w:r>
            <w:r>
              <w:rPr>
                <w:rFonts w:hint="eastAsia" w:ascii="宋体" w:hAnsi="宋体" w:eastAsia="宋体" w:cs="宋体"/>
                <w:szCs w:val="21"/>
              </w:rPr>
              <w:t>.检索结果支持按照相似度、时间、学术价值等维度排序。</w:t>
            </w:r>
            <w:r>
              <w:rPr>
                <w:rFonts w:ascii="宋体" w:hAnsi="宋体" w:eastAsia="宋体" w:cs="宋体"/>
                <w:szCs w:val="21"/>
              </w:rPr>
              <w:t>16.</w:t>
            </w:r>
            <w:r>
              <w:rPr>
                <w:rFonts w:hint="eastAsia" w:ascii="宋体" w:hAnsi="宋体" w:eastAsia="宋体" w:cs="宋体"/>
                <w:szCs w:val="21"/>
              </w:rPr>
              <w:t>中文期刊和外文期刊分开检索，并且能够直接链接到来源库全文下载网页，对于同一篇文章同时多个数据商都有的情况，可以列出文章出自多个数据商来源。</w:t>
            </w:r>
          </w:p>
          <w:p w14:paraId="7976BF8E">
            <w:pPr>
              <w:widowControl/>
              <w:jc w:val="left"/>
              <w:rPr>
                <w:rFonts w:hint="eastAsia" w:ascii="宋体" w:hAnsi="宋体" w:eastAsia="宋体" w:cs="宋体"/>
                <w:szCs w:val="21"/>
              </w:rPr>
            </w:pPr>
            <w:r>
              <w:rPr>
                <w:rFonts w:ascii="宋体" w:hAnsi="宋体" w:eastAsia="宋体" w:cs="宋体"/>
                <w:szCs w:val="21"/>
              </w:rPr>
              <w:t>17.</w:t>
            </w:r>
            <w:r>
              <w:rPr>
                <w:rFonts w:hint="eastAsia" w:ascii="宋体" w:hAnsi="宋体" w:eastAsia="宋体" w:cs="宋体"/>
                <w:szCs w:val="21"/>
              </w:rPr>
              <w:t>快速检索帮助读者像利用搜索引擎一样检索学术资源。</w:t>
            </w:r>
            <w:r>
              <w:rPr>
                <w:rFonts w:ascii="宋体" w:hAnsi="宋体" w:eastAsia="宋体" w:cs="宋体"/>
                <w:szCs w:val="21"/>
              </w:rPr>
              <w:t>18</w:t>
            </w:r>
            <w:r>
              <w:rPr>
                <w:rFonts w:hint="eastAsia" w:ascii="宋体" w:hAnsi="宋体" w:eastAsia="宋体" w:cs="宋体"/>
                <w:szCs w:val="21"/>
              </w:rPr>
              <w:t>.多面搜索： 检索任何一种资源时，同时显示其他相关资源信息。</w:t>
            </w:r>
            <w:r>
              <w:rPr>
                <w:rFonts w:ascii="宋体" w:hAnsi="宋体" w:eastAsia="宋体" w:cs="宋体"/>
                <w:szCs w:val="21"/>
              </w:rPr>
              <w:t>19</w:t>
            </w:r>
            <w:r>
              <w:rPr>
                <w:rFonts w:hint="eastAsia" w:ascii="宋体" w:hAnsi="宋体" w:eastAsia="宋体" w:cs="宋体"/>
                <w:szCs w:val="21"/>
              </w:rPr>
              <w:t>.全文传递响应时间在48小时之内。</w:t>
            </w:r>
            <w:r>
              <w:rPr>
                <w:rFonts w:ascii="宋体" w:hAnsi="宋体" w:eastAsia="宋体" w:cs="宋体"/>
                <w:szCs w:val="21"/>
              </w:rPr>
              <w:t>20</w:t>
            </w:r>
            <w:r>
              <w:rPr>
                <w:rFonts w:hint="eastAsia" w:ascii="宋体" w:hAnsi="宋体" w:eastAsia="宋体" w:cs="宋体"/>
                <w:szCs w:val="21"/>
              </w:rPr>
              <w:t>. 提供全国各地图书馆共享服务平台案例证明，保证文献传递满足率与服务质量。</w:t>
            </w:r>
            <w:r>
              <w:rPr>
                <w:rFonts w:ascii="宋体" w:hAnsi="宋体" w:eastAsia="宋体" w:cs="宋体"/>
                <w:szCs w:val="21"/>
              </w:rPr>
              <w:t>21</w:t>
            </w:r>
            <w:r>
              <w:rPr>
                <w:rFonts w:hint="eastAsia" w:ascii="宋体" w:hAnsi="宋体" w:eastAsia="宋体" w:cs="宋体"/>
                <w:szCs w:val="21"/>
              </w:rPr>
              <w:t>.数据整合方式必须以元数据方式整合。</w:t>
            </w:r>
            <w:r>
              <w:rPr>
                <w:rFonts w:ascii="宋体" w:hAnsi="宋体" w:eastAsia="宋体" w:cs="宋体"/>
                <w:szCs w:val="21"/>
              </w:rPr>
              <w:t>22</w:t>
            </w:r>
            <w:r>
              <w:rPr>
                <w:rFonts w:hint="eastAsia" w:ascii="宋体" w:hAnsi="宋体" w:eastAsia="宋体" w:cs="宋体"/>
                <w:szCs w:val="21"/>
              </w:rPr>
              <w:t>.中文全文传递获取的满足率达到或超过96%；外文全文传递获取的满足率达到或超过90%。</w:t>
            </w:r>
            <w:r>
              <w:rPr>
                <w:rFonts w:ascii="宋体" w:hAnsi="宋体" w:eastAsia="宋体" w:cs="宋体"/>
                <w:szCs w:val="21"/>
              </w:rPr>
              <w:t>23</w:t>
            </w:r>
            <w:r>
              <w:rPr>
                <w:rFonts w:hint="eastAsia" w:ascii="宋体" w:hAnsi="宋体" w:eastAsia="宋体" w:cs="宋体"/>
                <w:szCs w:val="21"/>
              </w:rPr>
              <w:t>.同时满足下列功能: 满足期刊、学位论文、会议论文等资源的搜索；同时满足的获取方式包括本馆和非本馆的资源获取等。</w:t>
            </w:r>
            <w:r>
              <w:rPr>
                <w:rFonts w:hint="eastAsia" w:ascii="宋体" w:hAnsi="宋体" w:eastAsia="宋体" w:cs="宋体"/>
                <w:sz w:val="21"/>
                <w:szCs w:val="21"/>
                <w:lang w:val="en-US" w:eastAsia="zh-CN"/>
              </w:rPr>
              <w:t>提供2025年使用权。</w:t>
            </w:r>
          </w:p>
          <w:p w14:paraId="0293BB37">
            <w:pPr>
              <w:widowControl/>
              <w:jc w:val="left"/>
              <w:rPr>
                <w:rFonts w:hint="eastAsia" w:ascii="宋体" w:hAnsi="宋体" w:eastAsia="宋体" w:cs="宋体"/>
                <w:szCs w:val="21"/>
                <w:lang w:eastAsia="zh-CN"/>
              </w:rPr>
            </w:pPr>
            <w:r>
              <w:rPr>
                <w:rFonts w:hint="eastAsia" w:ascii="宋体" w:hAnsi="宋体" w:eastAsia="宋体" w:cs="宋体"/>
                <w:szCs w:val="21"/>
              </w:rPr>
              <w:t>四、期刊数据库</w:t>
            </w:r>
            <w:r>
              <w:rPr>
                <w:rFonts w:hint="eastAsia" w:ascii="宋体" w:hAnsi="宋体" w:eastAsia="宋体" w:cs="宋体"/>
                <w:szCs w:val="21"/>
                <w:lang w:eastAsia="zh-CN"/>
              </w:rPr>
              <w:t>：</w:t>
            </w:r>
          </w:p>
          <w:p w14:paraId="34E4AD4E">
            <w:pPr>
              <w:widowControl/>
              <w:jc w:val="left"/>
              <w:rPr>
                <w:rFonts w:ascii="宋体" w:hAnsi="宋体" w:eastAsia="宋体" w:cs="宋体"/>
                <w:szCs w:val="21"/>
              </w:rPr>
            </w:pPr>
            <w:r>
              <w:rPr>
                <w:rFonts w:hint="eastAsia" w:ascii="宋体" w:hAnsi="宋体" w:eastAsia="宋体" w:cs="宋体"/>
                <w:szCs w:val="21"/>
              </w:rPr>
              <w:t>1.具备授权期刊种数不低于6000种（需覆盖学术、教育、大众、综合类），其中教育类刊种不低于800种。北大核心期刊不低于1100种；2.取得中华人民共和国出版物经营许可证；3.期刊种类需具备学术、教育、大众三种分类；4.提供方需具备独自数字化加工能力（PDF格式、流媒体格式）。5.支持数据检索，检索字段包含：主题、标题、刊名、作者、第一作者、机构、关键词、摘要、栏目、基金、正文；6.支持“在结果中检索”；7.检索结果，支持按照年份、学科、关键词、重要期刊、刊名、作者机构、作者、基金进行二次筛选；8.PC端检索结果需支持按默认排序、发表时间降序、发表时间升序、被引量排序、阅读量排序几种不同的排序来显示；9.检索结果支持按年份、学科、关键词、重要期刊、刊名、作者机构、作者、基金进行二次筛选；10.PC端的高级检索支持五个检索条件同时检索；11.PC端支持记录检索历史；12.PC端支持刊种内的年期导航，及刊种的分类导航；13.检索结果支持按作者、学科、关键词、机构、基金等类型查看文献；14.PC端支持刊内检索；15.PC端、移动端均具备期刊全文阅读功能，支持流媒体格式在线阅读、支持PDF格式下载；16.PC端全文页面支持文章目录导航/文内图表导航，点击目录导航/文内图表导航可定位至文章对应的内容位置；17.PC端支持期刊文章下载，且不用下载专用阅读器；18.PC端、移动端均支持“引用文本”，可以直接使用GB/T7714、MLA、APA三种不同的参考文献格式；19.支持对期刊及文献进行收藏云端同步，对收藏期刊可自行进行分类管理；20.移动端支持以瀑布流的形式查看每种刊物各年份各期的文章目录；21.移动端支持在线学术讨论交流，形成学术讨论共同体；22..移动端，刊种、文章均具备点赞、评论功能，且点赞、评论、阅读数据实时更新；23.移动端支持查看期刊收藏量及收藏的人，并支持关注对方实现在线交流；24.移动端支持期刊全文转发至学习通交流群中；25.移动端支持将期刊全文转发至微信、朋友圈等第三方社交媒体平台；26.需具备本公司移动端应用（非微信公众平台），通过手机（支持安卓系统、IOS系统）、平板电脑等多平台使用，具备检索功能，支持在线html格式阅读，全文内容为文本格式支持自由复制。27支持PC端、手机、Pad、歌德机等多终端数据同步。28.期刊除在自身数据库平台使用外，支持在数字图书馆门户首页的一站式资源检索框中检索并利用，形成多种数据资源的统一检索；29.无并发数、无下载量限制。</w:t>
            </w:r>
            <w:r>
              <w:rPr>
                <w:rFonts w:hint="eastAsia" w:ascii="宋体" w:hAnsi="宋体" w:eastAsia="宋体" w:cs="宋体"/>
                <w:sz w:val="21"/>
                <w:szCs w:val="21"/>
                <w:lang w:val="en-US" w:eastAsia="zh-CN"/>
              </w:rPr>
              <w:t>提供2025年使用权。</w:t>
            </w:r>
          </w:p>
          <w:p w14:paraId="74CEA0BB">
            <w:pPr>
              <w:widowControl/>
              <w:jc w:val="left"/>
              <w:rPr>
                <w:rFonts w:ascii="宋体" w:hAnsi="宋体" w:eastAsia="宋体" w:cs="宋体"/>
                <w:szCs w:val="21"/>
              </w:rPr>
            </w:pPr>
            <w:r>
              <w:rPr>
                <w:rFonts w:hint="eastAsia" w:ascii="宋体" w:hAnsi="宋体" w:eastAsia="宋体" w:cs="宋体"/>
                <w:szCs w:val="21"/>
              </w:rPr>
              <w:t>五、发现系统</w:t>
            </w:r>
          </w:p>
          <w:p w14:paraId="5C606412">
            <w:pPr>
              <w:widowControl/>
              <w:jc w:val="left"/>
              <w:rPr>
                <w:rFonts w:ascii="宋体" w:hAnsi="宋体" w:eastAsia="宋体" w:cs="宋体"/>
                <w:szCs w:val="21"/>
              </w:rPr>
            </w:pPr>
            <w:r>
              <w:rPr>
                <w:rFonts w:hint="eastAsia" w:ascii="宋体" w:hAnsi="宋体" w:eastAsia="宋体" w:cs="宋体"/>
                <w:szCs w:val="21"/>
              </w:rPr>
              <w:t>1.支持简体字/繁体字检索，并且在检索时，支持简体字/繁体字的同义转换；2.支持空检索，并显示空检条件下整体数据量，以及各文献类型包括图书、期刊、学位等数据量，各年份收录量等；3.提供简单检索、并支持google like检索方式，如date、author、title等检索方式；</w:t>
            </w:r>
          </w:p>
          <w:p w14:paraId="27D8D7A4">
            <w:pPr>
              <w:widowControl/>
              <w:jc w:val="left"/>
              <w:rPr>
                <w:rFonts w:ascii="宋体" w:hAnsi="宋体" w:eastAsia="宋体" w:cs="宋体"/>
                <w:szCs w:val="21"/>
              </w:rPr>
            </w:pPr>
            <w:r>
              <w:rPr>
                <w:rFonts w:hint="eastAsia" w:ascii="宋体" w:hAnsi="宋体" w:eastAsia="宋体" w:cs="宋体"/>
                <w:szCs w:val="21"/>
              </w:rPr>
              <w:t>4.提供二次检索，支持在当前检索结果下再次搜索；5. 支持按照单独文献类型进行筛选，呈现该文献类型下对应的分面聚类，并显示每个分面聚类的文献数量，分面聚类可支持复选；6. 提供智能检索，如自动匹配检索词曾用名、学名、全称等；以及检索作者、作者机构，自动匹配作者或作者机构字段；7. 提供高级检索，并支持精确/模糊两种匹配方式，支持多种字段与、或、非逻辑检索，且各类文献特殊字段检索；8.提供专业检索，支持多个字段布尔逻辑表达式检索；9.支持部分分面聚类扩展到二级分类，如作者机构、学科分类等，同时二级分类同样支持复选；</w:t>
            </w:r>
          </w:p>
          <w:p w14:paraId="52983DD4">
            <w:pPr>
              <w:widowControl/>
              <w:jc w:val="left"/>
              <w:rPr>
                <w:rFonts w:ascii="宋体" w:hAnsi="宋体" w:eastAsia="宋体" w:cs="宋体"/>
                <w:szCs w:val="21"/>
              </w:rPr>
            </w:pPr>
            <w:r>
              <w:rPr>
                <w:rFonts w:hint="eastAsia" w:ascii="宋体" w:hAnsi="宋体" w:eastAsia="宋体" w:cs="宋体"/>
                <w:szCs w:val="21"/>
              </w:rPr>
              <w:t>10.提供各种文献的丰富图形化信息展示，同时图书、期刊文献封面显示，且能放大显示；11.内置期刊导航，可显示该期刊按年代的完整导航，可限定期刊某一期的所有篇目文献；12.内置报纸导航，可显示该报纸按年代的完整导航，可限定报纸某一月某一日的所有文献；13.提供期刊刊种导航，支持对期刊进行OA刊、语种、教育部学科、首字母、重要期刊、JCR分区、出版周期的聚类筛选，支持对刊名、主办单位、ISSN、CN号等检索字段进行检索，可按照年卷期的导航方式显示刊物篇目级数据；</w:t>
            </w:r>
          </w:p>
          <w:p w14:paraId="3009D5C8">
            <w:pPr>
              <w:widowControl/>
              <w:jc w:val="left"/>
              <w:rPr>
                <w:rFonts w:ascii="宋体" w:hAnsi="宋体" w:eastAsia="宋体" w:cs="宋体"/>
                <w:szCs w:val="21"/>
              </w:rPr>
            </w:pPr>
            <w:r>
              <w:rPr>
                <w:rFonts w:hint="eastAsia" w:ascii="宋体" w:hAnsi="宋体" w:eastAsia="宋体" w:cs="宋体"/>
                <w:szCs w:val="21"/>
              </w:rPr>
              <w:t>14.提供机构导航，展示机构现行名称和曾用名/别名，可按照机构名称检索出对应的文献结果；15.整合图书馆纸电资源，实现同一条数据在资源层面做去重，将纸质获取途径和电子获取途径进行联合揭示，实现图书馆纸电资源的统一检索和资源获取服务，打造图书馆纸电一体资源目录体系；16.支持对不同资源混合排序，如支持学术性、相关性、馆藏优先、时间升降序等排序方式；17.提供对单篇文章收藏、分享、导出的功能；18.提供全国馆藏揭示，展示此资源被图书馆收录的情况，支持按省份地区和单位类型浏览；19.提供摘要和列表两种检索结果显示方式；</w:t>
            </w:r>
          </w:p>
          <w:p w14:paraId="0F18C85E">
            <w:pPr>
              <w:widowControl/>
              <w:jc w:val="left"/>
              <w:rPr>
                <w:rFonts w:ascii="宋体" w:hAnsi="宋体" w:eastAsia="宋体" w:cs="宋体"/>
                <w:szCs w:val="21"/>
              </w:rPr>
            </w:pPr>
            <w:r>
              <w:rPr>
                <w:rFonts w:hint="eastAsia" w:ascii="宋体" w:hAnsi="宋体" w:eastAsia="宋体" w:cs="宋体"/>
                <w:szCs w:val="21"/>
              </w:rPr>
              <w:t>20.根据检索结果，提供知识点-知识点、知识点-人、人-人（学位论文作者谱系图等）、机构-机构动态的关联关系，并通过可视化方式展现；</w:t>
            </w:r>
          </w:p>
          <w:p w14:paraId="46CAA9A5">
            <w:pPr>
              <w:widowControl/>
              <w:jc w:val="left"/>
              <w:rPr>
                <w:rFonts w:ascii="宋体" w:hAnsi="宋体" w:eastAsia="宋体" w:cs="宋体"/>
                <w:szCs w:val="21"/>
              </w:rPr>
            </w:pPr>
            <w:r>
              <w:rPr>
                <w:rFonts w:hint="eastAsia" w:ascii="宋体" w:hAnsi="宋体" w:eastAsia="宋体" w:cs="宋体"/>
                <w:szCs w:val="21"/>
              </w:rPr>
              <w:t>21.根据检索结果，提供历年各文献类型学术文章发展分布趋势图、学科、刊物、重要收录、地区、基金等趋势图或分布图。并且和左侧分面聚类进行呼应呈现，支持Excel文件导出；22.支持图书、期刊、学位论文等文献类型多主题对比，分析其发展趋势；并支持Excel文件导出；23.提供当前检索词同义词、上位词、兄弟词等多种关系图谱展示；24.提供期刊历年影响因子趋势图谱分析；25.提供知识关联图谱分析，通过输入中心词，可呈现相关的知识点关系图，支持按照不同属性、不同布局、不同节点数量等条件进行筛选，呈现渐进式多层图谱效果，同时提供该知识点相关文献的推荐；26.提供图书-图书、图书-期刊、期刊-图书、期刊-期刊、期刊-论文、期刊-报纸等文献的引用分析，提供完整参考文献与引证文献的列表，列表中的文献具备引证关系二次拓展的功能；27.提供图书、期刊等文献被引用情况的年代分布曲线；28.提供期刊-期刊文献的引用分析功能，中文期刊的引用分析数量不低于8000万篇文献；</w:t>
            </w:r>
          </w:p>
          <w:p w14:paraId="03F949C9">
            <w:pPr>
              <w:widowControl/>
              <w:jc w:val="left"/>
              <w:rPr>
                <w:rFonts w:ascii="宋体" w:hAnsi="宋体" w:eastAsia="宋体" w:cs="宋体"/>
                <w:szCs w:val="21"/>
              </w:rPr>
            </w:pPr>
            <w:r>
              <w:rPr>
                <w:rFonts w:hint="eastAsia" w:ascii="宋体" w:hAnsi="宋体" w:eastAsia="宋体" w:cs="宋体"/>
                <w:szCs w:val="21"/>
              </w:rPr>
              <w:t>29.元数据可支持多条保存电子题录信息，支持以邮箱、EndNote、NoteExpress、RefWorks、NoteFirst、BibTex等多种输出方式；且输出字段可选，同时支持选中结果直接打印；30.提供检索式的保存，可定期按照已保存的检索式推送最新资源到读者邮箱；31.提供读者的个人学习空间；32.通过分析图书、期刊、学位论文、会议论文等不同文献的特点，对单篇文献提供多种相关文章推送；33.支持与图书馆OPAC系统、各类商业数据库无缝对接；34.支持与本省、本地区资源共享服务平台无缝对接，同时支持与第三方文献资源保障平台对接如百链、calis等；</w:t>
            </w:r>
            <w:r>
              <w:rPr>
                <w:rFonts w:hint="eastAsia" w:ascii="宋体" w:hAnsi="宋体" w:eastAsia="宋体" w:cs="宋体"/>
                <w:sz w:val="21"/>
                <w:szCs w:val="21"/>
                <w:lang w:val="en-US" w:eastAsia="zh-CN"/>
              </w:rPr>
              <w:t>提供2025年使用权。</w:t>
            </w:r>
          </w:p>
          <w:p w14:paraId="1C578944">
            <w:pPr>
              <w:widowControl/>
              <w:jc w:val="left"/>
              <w:rPr>
                <w:rFonts w:ascii="宋体" w:hAnsi="宋体" w:eastAsia="宋体" w:cs="宋体"/>
                <w:szCs w:val="21"/>
              </w:rPr>
            </w:pPr>
            <w:r>
              <w:rPr>
                <w:rFonts w:hint="eastAsia" w:ascii="宋体" w:hAnsi="宋体" w:eastAsia="宋体" w:cs="宋体"/>
                <w:szCs w:val="21"/>
              </w:rPr>
              <w:t>六、云舟知识重构工具</w:t>
            </w:r>
          </w:p>
          <w:p w14:paraId="6ADD9416">
            <w:pPr>
              <w:widowControl/>
              <w:jc w:val="left"/>
              <w:rPr>
                <w:rFonts w:ascii="宋体" w:hAnsi="宋体" w:eastAsia="宋体" w:cs="宋体"/>
                <w:szCs w:val="21"/>
              </w:rPr>
            </w:pPr>
            <w:r>
              <w:rPr>
                <w:rFonts w:hint="eastAsia" w:ascii="宋体" w:hAnsi="宋体" w:eastAsia="宋体" w:cs="宋体"/>
                <w:szCs w:val="21"/>
              </w:rPr>
              <w:t>1.可支持不区分资源类型的检索，提供简单检索、高级检索、二次检索多种检索方式；在检索结果页提供高频检索词提示列表、检索词联想；支持简繁互检；2.元数据检索性能：支持检索时，结果页聚类、列表毫秒级返回；3.检索结果中提供首字母、分类、语种、年代、作者、文献类型、关键词、作者单位等多种筛选方式进行聚类，可实现组合筛选；检索结果提供相关度、出版日期、入库时间、全文优先等多种排序方式；</w:t>
            </w:r>
          </w:p>
          <w:p w14:paraId="48B591D3">
            <w:pPr>
              <w:widowControl/>
              <w:jc w:val="left"/>
              <w:rPr>
                <w:rFonts w:ascii="宋体" w:hAnsi="宋体" w:eastAsia="宋体" w:cs="宋体"/>
                <w:szCs w:val="21"/>
              </w:rPr>
            </w:pPr>
            <w:r>
              <w:rPr>
                <w:rFonts w:hint="eastAsia" w:ascii="宋体" w:hAnsi="宋体" w:eastAsia="宋体" w:cs="宋体"/>
                <w:szCs w:val="21"/>
              </w:rPr>
              <w:t>4.支持根据用户的搜索结果，按知识点、作者、机构、文献类型等多维度生成可视化图表展示；支持搜索结果结合知识挖掘、知识关联分析与可视化技术于一体，将检索数据及分析结果以图谱形式直观展示；支持按搜索结果，展示库内资源的热力地图，可展示到省、市级；5.根据用户的搜索和浏览记录，智能匹配推荐相关资源；6.支持对检索结果中的题录数据进行多种格式的批量导出；7.支持多种阅读模式：在线阅读、IIIF阅读，支持上下滚动和左右翻页的阅读模式、章节导航的快速定位、画框取词；EPUB阅读；8.支持对古籍场景下，数据的图文对照编辑及阅读；9.支持符合条件的数据全文检索，可以选择内容添加批注；1</w:t>
            </w:r>
            <w:r>
              <w:rPr>
                <w:rFonts w:ascii="宋体" w:hAnsi="宋体" w:eastAsia="宋体" w:cs="宋体"/>
                <w:szCs w:val="21"/>
              </w:rPr>
              <w:t>0</w:t>
            </w:r>
            <w:r>
              <w:rPr>
                <w:rFonts w:hint="eastAsia" w:ascii="宋体" w:hAnsi="宋体" w:eastAsia="宋体" w:cs="宋体"/>
                <w:szCs w:val="21"/>
              </w:rPr>
              <w:t>.一站式资源管理平台。赋予学校自主管理资源的权限，结合门户强大的建站功能，让学校能快速、可视化的建设独有的特色库管理平台；数据库管理：管理员可新建、删除、修改数据库，建设多个子库，实现多个子库统一检索；</w:t>
            </w:r>
            <w:r>
              <w:rPr>
                <w:rFonts w:ascii="宋体" w:hAnsi="宋体" w:eastAsia="宋体" w:cs="宋体"/>
                <w:szCs w:val="21"/>
              </w:rPr>
              <w:t>11</w:t>
            </w:r>
            <w:r>
              <w:rPr>
                <w:rFonts w:hint="eastAsia" w:ascii="宋体" w:hAnsi="宋体" w:eastAsia="宋体" w:cs="宋体"/>
                <w:szCs w:val="21"/>
              </w:rPr>
              <w:t>.支持多种资源类型，涵盖但不仅限于中外文图书、中外文期刊、中外文会议论文、中外文学位论文、中外文专利、中外文标准、中文报纸、科技报告、图片、视频等；</w:t>
            </w:r>
            <w:r>
              <w:rPr>
                <w:rFonts w:ascii="宋体" w:hAnsi="宋体" w:eastAsia="宋体" w:cs="宋体"/>
                <w:szCs w:val="21"/>
              </w:rPr>
              <w:t>12</w:t>
            </w:r>
            <w:r>
              <w:rPr>
                <w:rFonts w:hint="eastAsia" w:ascii="宋体" w:hAnsi="宋体" w:eastAsia="宋体" w:cs="宋体"/>
                <w:szCs w:val="21"/>
              </w:rPr>
              <w:t>.支持建设4级以内的自定义分类，能够实现在系统元数据仓储的基础之上，建设具有针对性方向的子分类，使数据形成结构化存储与分类导航浏览；支持管理员选择多级分类上传资源、对已上传的资源调整分类；</w:t>
            </w:r>
            <w:r>
              <w:rPr>
                <w:rFonts w:ascii="宋体" w:hAnsi="宋体" w:eastAsia="宋体" w:cs="宋体"/>
                <w:szCs w:val="21"/>
              </w:rPr>
              <w:t>13</w:t>
            </w:r>
            <w:r>
              <w:rPr>
                <w:rFonts w:hint="eastAsia" w:ascii="宋体" w:hAnsi="宋体" w:eastAsia="宋体" w:cs="宋体"/>
                <w:szCs w:val="21"/>
              </w:rPr>
              <w:t>.支持为管理员提供通过批量导入（支持自定义上传）、单篇上传、元数据仓储、专题资源4种数据添加方式；平台对于批量导入和自定义导入方式提供数据导入失败提醒，界面显示导入失败数据和重复数据，支持下载失败数据和手动确认入库重复数据；</w:t>
            </w:r>
            <w:r>
              <w:rPr>
                <w:rFonts w:ascii="宋体" w:hAnsi="宋体" w:eastAsia="宋体" w:cs="宋体"/>
                <w:szCs w:val="21"/>
              </w:rPr>
              <w:t>14</w:t>
            </w:r>
            <w:r>
              <w:rPr>
                <w:rFonts w:hint="eastAsia" w:ascii="宋体" w:hAnsi="宋体" w:eastAsia="宋体" w:cs="宋体"/>
                <w:szCs w:val="21"/>
              </w:rPr>
              <w:t>.支持通过关键词、检索式从元数据仓储对图书、期刊类型资源全文筛选导入；</w:t>
            </w:r>
            <w:r>
              <w:rPr>
                <w:rFonts w:ascii="宋体" w:hAnsi="宋体" w:eastAsia="宋体" w:cs="宋体"/>
                <w:szCs w:val="21"/>
              </w:rPr>
              <w:t>15</w:t>
            </w:r>
            <w:r>
              <w:rPr>
                <w:rFonts w:hint="eastAsia" w:ascii="宋体" w:hAnsi="宋体" w:eastAsia="宋体" w:cs="宋体"/>
                <w:szCs w:val="21"/>
              </w:rPr>
              <w:t>.支持元数据批量标引：选择文献类型后将数据对像（PDF）导入平台，平台自动标引出元数据信息，管理员可对标引结果进行查看、编辑、入库等操作；</w:t>
            </w:r>
            <w:r>
              <w:rPr>
                <w:rFonts w:ascii="宋体" w:hAnsi="宋体" w:eastAsia="宋体" w:cs="宋体"/>
                <w:szCs w:val="21"/>
              </w:rPr>
              <w:t>16</w:t>
            </w:r>
            <w:r>
              <w:rPr>
                <w:rFonts w:hint="eastAsia" w:ascii="宋体" w:hAnsi="宋体" w:eastAsia="宋体" w:cs="宋体"/>
                <w:szCs w:val="21"/>
              </w:rPr>
              <w:t>.支持元数据标引，采用可视化界面，针对数据对像（PDF）标引，把原数字对像中的内容通过画框取词、选择取词的方式对应到相应字段中，获取数字对像全文信息；</w:t>
            </w:r>
            <w:r>
              <w:rPr>
                <w:rFonts w:ascii="宋体" w:hAnsi="宋体" w:eastAsia="宋体" w:cs="宋体"/>
                <w:szCs w:val="21"/>
              </w:rPr>
              <w:t>17</w:t>
            </w:r>
            <w:r>
              <w:rPr>
                <w:rFonts w:hint="eastAsia" w:ascii="宋体" w:hAnsi="宋体" w:eastAsia="宋体" w:cs="宋体"/>
                <w:szCs w:val="21"/>
              </w:rPr>
              <w:t>.支持管理员对数据进行查、增、删、改、复制、上传全文、配置全文来源、配置关联资源等操作；</w:t>
            </w:r>
            <w:r>
              <w:rPr>
                <w:rFonts w:ascii="宋体" w:hAnsi="宋体" w:eastAsia="宋体" w:cs="宋体"/>
                <w:szCs w:val="21"/>
              </w:rPr>
              <w:t>18</w:t>
            </w:r>
            <w:r>
              <w:rPr>
                <w:rFonts w:hint="eastAsia" w:ascii="宋体" w:hAnsi="宋体" w:eastAsia="宋体" w:cs="宋体"/>
                <w:szCs w:val="21"/>
              </w:rPr>
              <w:t>.支持全库以及新增数据的自定义查重，即：著录时，支持“题名+作者”等字段的自定义组合查重，不同文献类型的规则可配置；1</w:t>
            </w:r>
            <w:r>
              <w:rPr>
                <w:rFonts w:ascii="宋体" w:hAnsi="宋体" w:eastAsia="宋体" w:cs="宋体"/>
                <w:szCs w:val="21"/>
              </w:rPr>
              <w:t>9</w:t>
            </w:r>
            <w:r>
              <w:rPr>
                <w:rFonts w:hint="eastAsia" w:ascii="宋体" w:hAnsi="宋体" w:eastAsia="宋体" w:cs="宋体"/>
                <w:szCs w:val="21"/>
              </w:rPr>
              <w:t>.支持资源提交与审核机制，个人用户可进行资源提交，由管理员审核后发布，且可设置最高5级的多层级审核机制；支持查看；</w:t>
            </w:r>
            <w:r>
              <w:rPr>
                <w:rFonts w:ascii="宋体" w:hAnsi="宋体" w:eastAsia="宋体" w:cs="宋体"/>
                <w:szCs w:val="21"/>
              </w:rPr>
              <w:t>20</w:t>
            </w:r>
            <w:r>
              <w:rPr>
                <w:rFonts w:hint="eastAsia" w:ascii="宋体" w:hAnsi="宋体" w:eastAsia="宋体" w:cs="宋体"/>
                <w:szCs w:val="21"/>
              </w:rPr>
              <w:t>.支持对平台资源的撤回、发布功能，实现对于资源的控制；支持元数据导出，导出时可按照文献类型筛选需要导出的字段信息；</w:t>
            </w:r>
            <w:r>
              <w:rPr>
                <w:rFonts w:ascii="宋体" w:hAnsi="宋体" w:eastAsia="宋体" w:cs="宋体"/>
                <w:szCs w:val="21"/>
              </w:rPr>
              <w:t>21</w:t>
            </w:r>
            <w:r>
              <w:rPr>
                <w:rFonts w:hint="eastAsia" w:ascii="宋体" w:hAnsi="宋体" w:eastAsia="宋体" w:cs="宋体"/>
                <w:szCs w:val="21"/>
              </w:rPr>
              <w:t>.支持管理员通过特色库管理平台单条添加、批量导入自动更新参数，自动更新参数采用布尔逻辑检索式，支持为同一个分类设置多个检索条件；</w:t>
            </w:r>
            <w:r>
              <w:rPr>
                <w:rFonts w:ascii="宋体" w:hAnsi="宋体" w:eastAsia="宋体" w:cs="宋体"/>
                <w:szCs w:val="21"/>
              </w:rPr>
              <w:t>22</w:t>
            </w:r>
            <w:r>
              <w:rPr>
                <w:rFonts w:hint="eastAsia" w:ascii="宋体" w:hAnsi="宋体" w:eastAsia="宋体" w:cs="宋体"/>
                <w:szCs w:val="21"/>
              </w:rPr>
              <w:t>.支持管理员能够根据分类的资源要求，通过检索式、关键词等多种形式筛选资源，从元数据仓储中进行批量提取，并支持每周/月根据参数自动更新；</w:t>
            </w:r>
            <w:r>
              <w:rPr>
                <w:rFonts w:ascii="宋体" w:hAnsi="宋体" w:eastAsia="宋体" w:cs="宋体"/>
                <w:szCs w:val="21"/>
              </w:rPr>
              <w:t>23</w:t>
            </w:r>
            <w:r>
              <w:rPr>
                <w:rFonts w:hint="eastAsia" w:ascii="宋体" w:hAnsi="宋体" w:eastAsia="宋体" w:cs="宋体"/>
                <w:szCs w:val="21"/>
              </w:rPr>
              <w:t>.支持对导入的文献分类展示，提供检索、排序等功能；支持对库里已有数据及后续新增数据，自动打标签实现数据匹配；支持新增、管理单位自有同义词库；</w:t>
            </w:r>
            <w:r>
              <w:rPr>
                <w:rFonts w:ascii="宋体" w:hAnsi="宋体" w:eastAsia="宋体" w:cs="宋体"/>
                <w:szCs w:val="21"/>
              </w:rPr>
              <w:t>24</w:t>
            </w:r>
            <w:r>
              <w:rPr>
                <w:rFonts w:hint="eastAsia" w:ascii="宋体" w:hAnsi="宋体" w:eastAsia="宋体" w:cs="宋体"/>
                <w:szCs w:val="21"/>
              </w:rPr>
              <w:t>.支持在文献类型管理页面自定义资源类型，可以对新增字段的名称、字段、字段填写方式、是否参与检索、是否参与聚类、是否列表页展示等信息进行设置；支持对已有文献类型的修改、注销、开启操作。修改页面与新建页面一样，支持对字段进行拖拽式新增、顺序调整；</w:t>
            </w:r>
            <w:r>
              <w:rPr>
                <w:rFonts w:ascii="宋体" w:hAnsi="宋体" w:eastAsia="宋体" w:cs="宋体"/>
                <w:szCs w:val="21"/>
              </w:rPr>
              <w:t>25</w:t>
            </w:r>
            <w:r>
              <w:rPr>
                <w:rFonts w:hint="eastAsia" w:ascii="宋体" w:hAnsi="宋体" w:eastAsia="宋体" w:cs="宋体"/>
                <w:szCs w:val="21"/>
              </w:rPr>
              <w:t>.支持资源回收站功能，已删除的资源，可在回收站恢复或彻底删除；</w:t>
            </w:r>
            <w:r>
              <w:rPr>
                <w:rFonts w:ascii="宋体" w:hAnsi="宋体" w:eastAsia="宋体" w:cs="宋体"/>
                <w:szCs w:val="21"/>
              </w:rPr>
              <w:t>26</w:t>
            </w:r>
            <w:r>
              <w:rPr>
                <w:rFonts w:hint="eastAsia" w:ascii="宋体" w:hAnsi="宋体" w:eastAsia="宋体" w:cs="宋体"/>
                <w:szCs w:val="21"/>
              </w:rPr>
              <w:t>.后台具有资讯配置功能，配置好网络资讯采集参数后，系统自动进行资讯信息采集与最新资讯，用于展示与本专题相关的动态、资讯等。</w:t>
            </w:r>
            <w:r>
              <w:rPr>
                <w:rFonts w:ascii="宋体" w:hAnsi="宋体" w:eastAsia="宋体" w:cs="宋体"/>
                <w:szCs w:val="21"/>
              </w:rPr>
              <w:t>27</w:t>
            </w:r>
            <w:r>
              <w:rPr>
                <w:rFonts w:hint="eastAsia" w:ascii="宋体" w:hAnsi="宋体" w:eastAsia="宋体" w:cs="宋体"/>
                <w:szCs w:val="21"/>
              </w:rPr>
              <w:t>.已采集的信息按专栏进行分站点展示，提供检索、排序等功能，点击资讯标题即可跳转到原始全文页面进行阅读；支持对平台资讯的单篇添加、批量导入、撤回、发布功能；</w:t>
            </w:r>
            <w:r>
              <w:rPr>
                <w:rFonts w:ascii="宋体" w:hAnsi="宋体" w:eastAsia="宋体" w:cs="宋体"/>
                <w:szCs w:val="21"/>
              </w:rPr>
              <w:t>28</w:t>
            </w:r>
            <w:r>
              <w:rPr>
                <w:rFonts w:hint="eastAsia" w:ascii="宋体" w:hAnsi="宋体" w:eastAsia="宋体" w:cs="宋体"/>
                <w:szCs w:val="21"/>
              </w:rPr>
              <w:t>.提供数据中心用于图文列表、多图列表、文本列表、图表类应用，单位根据相关产品使用情况在数据中心，点击特色库资源，选择数据源、配置参数，生成数据包，诸如：专题导航、视听文献、阅读推荐等；2</w:t>
            </w:r>
            <w:r>
              <w:rPr>
                <w:rFonts w:ascii="宋体" w:hAnsi="宋体" w:eastAsia="宋体" w:cs="宋体"/>
                <w:szCs w:val="21"/>
              </w:rPr>
              <w:t>9</w:t>
            </w:r>
            <w:r>
              <w:rPr>
                <w:rFonts w:hint="eastAsia" w:ascii="宋体" w:hAnsi="宋体" w:eastAsia="宋体" w:cs="宋体"/>
                <w:szCs w:val="21"/>
              </w:rPr>
              <w:t>.元数据修改功能：支持管理员在特色库管理后台修改、删除、新增元数据，门户实时更新；</w:t>
            </w:r>
            <w:r>
              <w:rPr>
                <w:rFonts w:ascii="宋体" w:hAnsi="宋体" w:eastAsia="宋体" w:cs="宋体"/>
                <w:szCs w:val="21"/>
              </w:rPr>
              <w:t>30</w:t>
            </w:r>
            <w:r>
              <w:rPr>
                <w:rFonts w:hint="eastAsia" w:ascii="宋体" w:hAnsi="宋体" w:eastAsia="宋体" w:cs="宋体"/>
                <w:szCs w:val="21"/>
              </w:rPr>
              <w:t>.对接个人空间，支持对检索结果中的资源、资讯进行收藏到个人空间；</w:t>
            </w:r>
            <w:r>
              <w:rPr>
                <w:rFonts w:ascii="宋体" w:hAnsi="宋体" w:eastAsia="宋体" w:cs="宋体"/>
                <w:szCs w:val="21"/>
              </w:rPr>
              <w:t>31</w:t>
            </w:r>
            <w:r>
              <w:rPr>
                <w:rFonts w:hint="eastAsia" w:ascii="宋体" w:hAnsi="宋体" w:eastAsia="宋体" w:cs="宋体"/>
                <w:szCs w:val="21"/>
              </w:rPr>
              <w:t>.资源评论资源功能：支持用户对某条资源发表评论，其他用户对评论回复，且管理员能对评论进行审核、管理；支持用户对某条资源提交纠错，且管理员能对纠错进行审核、管理；</w:t>
            </w:r>
            <w:r>
              <w:rPr>
                <w:rFonts w:ascii="宋体" w:hAnsi="宋体" w:eastAsia="宋体" w:cs="宋体"/>
                <w:szCs w:val="21"/>
              </w:rPr>
              <w:t>32</w:t>
            </w:r>
            <w:r>
              <w:rPr>
                <w:rFonts w:hint="eastAsia" w:ascii="宋体" w:hAnsi="宋体" w:eastAsia="宋体" w:cs="宋体"/>
                <w:szCs w:val="21"/>
              </w:rPr>
              <w:t>.支持多层级版权保护： 根据IP、登录状态、用户角色等多种方式设置用户全文权限，包括：全文在线阅读、下载、在线全文查看等；对于无权限查看全文的用户，可支持试读设置，若支持试读，可设置能试读的页数；</w:t>
            </w:r>
            <w:r>
              <w:rPr>
                <w:rFonts w:ascii="宋体" w:hAnsi="宋体" w:eastAsia="宋体" w:cs="宋体"/>
                <w:szCs w:val="21"/>
              </w:rPr>
              <w:t>33</w:t>
            </w:r>
            <w:r>
              <w:rPr>
                <w:rFonts w:hint="eastAsia" w:ascii="宋体" w:hAnsi="宋体" w:eastAsia="宋体" w:cs="宋体"/>
                <w:szCs w:val="21"/>
              </w:rPr>
              <w:t>.支持后台的管理员权限设置，可根据需求为不同角色下的用户设定不同的后台访问权限，控制不同用户在后台的有不同的可操作性功能权限。</w:t>
            </w:r>
            <w:r>
              <w:rPr>
                <w:rFonts w:ascii="宋体" w:hAnsi="宋体" w:eastAsia="宋体" w:cs="宋体"/>
                <w:szCs w:val="21"/>
              </w:rPr>
              <w:t>34</w:t>
            </w:r>
            <w:r>
              <w:rPr>
                <w:rFonts w:hint="eastAsia" w:ascii="宋体" w:hAnsi="宋体" w:eastAsia="宋体" w:cs="宋体"/>
                <w:szCs w:val="21"/>
              </w:rPr>
              <w:t>.支持对特色库管理平台里所有资源进行统计，包括：元数据统计、附件容量占比、各资源占比、资源更新趋势统计；</w:t>
            </w:r>
            <w:r>
              <w:rPr>
                <w:rFonts w:ascii="宋体" w:hAnsi="宋体" w:eastAsia="宋体" w:cs="宋体"/>
                <w:szCs w:val="21"/>
              </w:rPr>
              <w:t>35</w:t>
            </w:r>
            <w:r>
              <w:rPr>
                <w:rFonts w:hint="eastAsia" w:ascii="宋体" w:hAnsi="宋体" w:eastAsia="宋体" w:cs="宋体"/>
                <w:szCs w:val="21"/>
              </w:rPr>
              <w:t>.支持按时间段筛选门户访问统计，包括网站总访问量、网站今日访问量、网站日均访问量，访问量变化趋势等；支持按详情页浏览量统计平台内相关热门资源TOP200，并支持导出记录信息；支持按检索量统计平台内相关分类的热门检索词及检索量；</w:t>
            </w:r>
            <w:r>
              <w:rPr>
                <w:rFonts w:ascii="宋体" w:hAnsi="宋体" w:eastAsia="宋体" w:cs="宋体"/>
                <w:szCs w:val="21"/>
              </w:rPr>
              <w:t>36</w:t>
            </w:r>
            <w:r>
              <w:rPr>
                <w:rFonts w:hint="eastAsia" w:ascii="宋体" w:hAnsi="宋体" w:eastAsia="宋体" w:cs="宋体"/>
                <w:szCs w:val="21"/>
              </w:rPr>
              <w:t>.提供前台使用日志，记录内容包括用户名、操作类型、操作详情和操作日期，能够按浏览、检索、下载、收藏和保存题录等操作类型进行查找和筛选，并支持导出记录信息；</w:t>
            </w:r>
            <w:r>
              <w:rPr>
                <w:rFonts w:ascii="宋体" w:hAnsi="宋体" w:eastAsia="宋体" w:cs="宋体"/>
                <w:szCs w:val="21"/>
              </w:rPr>
              <w:t>37</w:t>
            </w:r>
            <w:r>
              <w:rPr>
                <w:rFonts w:hint="eastAsia" w:ascii="宋体" w:hAnsi="宋体" w:eastAsia="宋体" w:cs="宋体"/>
                <w:szCs w:val="21"/>
              </w:rPr>
              <w:t>.支持按单个用户维度展示用户画像；支持记录管理员操作日志；</w:t>
            </w:r>
            <w:r>
              <w:rPr>
                <w:rFonts w:ascii="宋体" w:hAnsi="宋体" w:eastAsia="宋体" w:cs="宋体"/>
                <w:szCs w:val="21"/>
              </w:rPr>
              <w:t>38</w:t>
            </w:r>
            <w:r>
              <w:rPr>
                <w:rFonts w:hint="eastAsia" w:ascii="宋体" w:hAnsi="宋体" w:eastAsia="宋体" w:cs="宋体"/>
                <w:szCs w:val="21"/>
              </w:rPr>
              <w:t>.支持一个单位创建多个网站；可随时根据需求对已建网站修改、删除；3</w:t>
            </w:r>
            <w:r>
              <w:rPr>
                <w:rFonts w:ascii="宋体" w:hAnsi="宋体" w:eastAsia="宋体" w:cs="宋体"/>
                <w:szCs w:val="21"/>
              </w:rPr>
              <w:t>9</w:t>
            </w:r>
            <w:r>
              <w:rPr>
                <w:rFonts w:hint="eastAsia" w:ascii="宋体" w:hAnsi="宋体" w:eastAsia="宋体" w:cs="宋体"/>
                <w:szCs w:val="21"/>
              </w:rPr>
              <w:t>.支持网站挂接单位自有域名；支持设置网站访问权限为无需权限和需登录后访问；支持网站选择默认登录方式或第三方登录；支持SSO统一身份认证，实现单点登录服务；</w:t>
            </w:r>
            <w:r>
              <w:rPr>
                <w:rFonts w:ascii="宋体" w:hAnsi="宋体" w:eastAsia="宋体" w:cs="宋体"/>
                <w:szCs w:val="21"/>
              </w:rPr>
              <w:t>40</w:t>
            </w:r>
            <w:r>
              <w:rPr>
                <w:rFonts w:hint="eastAsia" w:ascii="宋体" w:hAnsi="宋体" w:eastAsia="宋体" w:cs="宋体"/>
                <w:szCs w:val="21"/>
              </w:rPr>
              <w:t>.支持设置网站IP范围访问，判断IP自动登录获取相应访问权限；</w:t>
            </w:r>
            <w:r>
              <w:rPr>
                <w:rFonts w:ascii="宋体" w:hAnsi="宋体" w:eastAsia="宋体" w:cs="宋体"/>
                <w:szCs w:val="21"/>
              </w:rPr>
              <w:t>41</w:t>
            </w:r>
            <w:r>
              <w:rPr>
                <w:rFonts w:hint="eastAsia" w:ascii="宋体" w:hAnsi="宋体" w:eastAsia="宋体" w:cs="宋体"/>
                <w:szCs w:val="21"/>
              </w:rPr>
              <w:t>.智慧门户将所有模块分为常用、基础模块、应用模块和全局模块来管理和使用，每个模块有各自独立的设置后台；</w:t>
            </w:r>
            <w:r>
              <w:rPr>
                <w:rFonts w:ascii="宋体" w:hAnsi="宋体" w:eastAsia="宋体" w:cs="宋体"/>
                <w:szCs w:val="21"/>
              </w:rPr>
              <w:t>42</w:t>
            </w:r>
            <w:r>
              <w:rPr>
                <w:rFonts w:hint="eastAsia" w:ascii="宋体" w:hAnsi="宋体" w:eastAsia="宋体" w:cs="宋体"/>
                <w:szCs w:val="21"/>
              </w:rPr>
              <w:t>.采用前后端分离技术，具有可视化页面设计后台，提供多种风格模板，选择模板后可快速生成含部分常用应用模块的页面；支持随时、自主调整所有应用模块的大小、位置，更新内容或删除模块，快速更新页面排版；</w:t>
            </w:r>
            <w:r>
              <w:rPr>
                <w:rFonts w:ascii="宋体" w:hAnsi="宋体" w:eastAsia="宋体" w:cs="宋体"/>
                <w:szCs w:val="21"/>
              </w:rPr>
              <w:t>43</w:t>
            </w:r>
            <w:r>
              <w:rPr>
                <w:rFonts w:hint="eastAsia" w:ascii="宋体" w:hAnsi="宋体" w:eastAsia="宋体" w:cs="宋体"/>
                <w:szCs w:val="21"/>
              </w:rPr>
              <w:t>.支持水印设置，可设置动态水印、自定义水印；</w:t>
            </w:r>
          </w:p>
          <w:p w14:paraId="0FC09E6C">
            <w:pPr>
              <w:widowControl/>
              <w:jc w:val="left"/>
              <w:rPr>
                <w:rFonts w:hint="default"/>
                <w:vertAlign w:val="baseline"/>
                <w:lang w:val="en-US" w:eastAsia="zh-CN"/>
              </w:rPr>
            </w:pPr>
            <w:r>
              <w:rPr>
                <w:rFonts w:ascii="宋体" w:hAnsi="宋体" w:eastAsia="宋体" w:cs="宋体"/>
                <w:szCs w:val="21"/>
              </w:rPr>
              <w:t>44</w:t>
            </w:r>
            <w:r>
              <w:rPr>
                <w:rFonts w:hint="eastAsia" w:ascii="宋体" w:hAnsi="宋体" w:eastAsia="宋体" w:cs="宋体"/>
                <w:szCs w:val="21"/>
              </w:rPr>
              <w:t>.支持敏感词设置，数据上传/提交审核时可检测，新增敏感词在门户以*号展示；</w:t>
            </w:r>
            <w:r>
              <w:rPr>
                <w:rFonts w:ascii="宋体" w:hAnsi="宋体" w:eastAsia="宋体" w:cs="宋体"/>
                <w:szCs w:val="21"/>
              </w:rPr>
              <w:t>45</w:t>
            </w:r>
            <w:r>
              <w:rPr>
                <w:rFonts w:hint="eastAsia" w:ascii="宋体" w:hAnsi="宋体" w:eastAsia="宋体" w:cs="宋体"/>
                <w:szCs w:val="21"/>
              </w:rPr>
              <w:t>.支持关联资源前台展示规则设置，可对不同门户设置关联资源是否参与前台门户检索或者是否在列表页展示，可设置检索高频词。</w:t>
            </w:r>
            <w:r>
              <w:rPr>
                <w:rFonts w:hint="eastAsia" w:ascii="宋体" w:hAnsi="宋体" w:eastAsia="宋体" w:cs="宋体"/>
                <w:sz w:val="21"/>
                <w:szCs w:val="21"/>
                <w:lang w:val="en-US" w:eastAsia="zh-CN"/>
              </w:rPr>
              <w:t>提供2025年使用权。</w:t>
            </w:r>
          </w:p>
        </w:tc>
        <w:tc>
          <w:tcPr>
            <w:tcW w:w="390" w:type="dxa"/>
            <w:vAlign w:val="center"/>
          </w:tcPr>
          <w:p w14:paraId="0DE9C984">
            <w:pPr>
              <w:jc w:val="center"/>
              <w:rPr>
                <w:rFonts w:hint="default"/>
                <w:vertAlign w:val="baseline"/>
                <w:lang w:val="en-US" w:eastAsia="zh-CN"/>
              </w:rPr>
            </w:pPr>
            <w:r>
              <w:rPr>
                <w:rFonts w:hint="eastAsia"/>
                <w:vertAlign w:val="baseline"/>
                <w:lang w:val="en-US" w:eastAsia="zh-CN"/>
              </w:rPr>
              <w:t>1项</w:t>
            </w:r>
          </w:p>
        </w:tc>
        <w:tc>
          <w:tcPr>
            <w:tcW w:w="450" w:type="dxa"/>
          </w:tcPr>
          <w:p w14:paraId="40556B7F">
            <w:pPr>
              <w:rPr>
                <w:rFonts w:hint="default"/>
                <w:vertAlign w:val="baseline"/>
                <w:lang w:val="en-US" w:eastAsia="zh-CN"/>
              </w:rPr>
            </w:pPr>
          </w:p>
        </w:tc>
      </w:tr>
      <w:tr w14:paraId="7C6F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391" w:type="dxa"/>
            <w:vAlign w:val="center"/>
          </w:tcPr>
          <w:p w14:paraId="140F940C">
            <w:pPr>
              <w:jc w:val="center"/>
              <w:rPr>
                <w:rFonts w:hint="default"/>
                <w:vertAlign w:val="baseline"/>
                <w:lang w:val="en-US" w:eastAsia="zh-CN"/>
              </w:rPr>
            </w:pPr>
            <w:r>
              <w:rPr>
                <w:rFonts w:hint="eastAsia"/>
                <w:vertAlign w:val="baseline"/>
                <w:lang w:val="en-US" w:eastAsia="zh-CN"/>
              </w:rPr>
              <w:t>7</w:t>
            </w:r>
          </w:p>
        </w:tc>
        <w:tc>
          <w:tcPr>
            <w:tcW w:w="423" w:type="dxa"/>
            <w:vAlign w:val="center"/>
          </w:tcPr>
          <w:p w14:paraId="32B5B4E3">
            <w:pPr>
              <w:jc w:val="center"/>
              <w:rPr>
                <w:rFonts w:hint="default"/>
                <w:vertAlign w:val="baseline"/>
                <w:lang w:val="en-US" w:eastAsia="zh-CN"/>
              </w:rPr>
            </w:pPr>
            <w:r>
              <w:rPr>
                <w:rFonts w:hint="eastAsia" w:ascii="宋体" w:hAnsi="宋体" w:eastAsia="宋体" w:cs="宋体"/>
                <w:sz w:val="21"/>
                <w:szCs w:val="21"/>
                <w:lang w:val="en-US" w:eastAsia="zh-CN"/>
              </w:rPr>
              <w:t>外语掌上学习平台</w:t>
            </w:r>
          </w:p>
        </w:tc>
        <w:tc>
          <w:tcPr>
            <w:tcW w:w="6735" w:type="dxa"/>
            <w:vAlign w:val="top"/>
          </w:tcPr>
          <w:p w14:paraId="2EA286EA">
            <w:pPr>
              <w:jc w:val="both"/>
              <w:rPr>
                <w:rFonts w:hint="default"/>
                <w:vertAlign w:val="baseli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掌上学习平台是专业化移动学习平台，实现随时、随地、随心移动学习功能。该平台包含国内国外主流英语考试类课程资源，以及语言应用类课程资源，形式包括视频、音频、文本、交互练习题等，涵盖视频课堂、音频课堂、趣味听听、掌上题库、双语悦读、阅读训练、影视赏析六大资源板块，每个板块采取不同的呈现形式，课程资源内容不重复。</w:t>
            </w:r>
            <w:r>
              <w:rPr>
                <w:rFonts w:hint="eastAsia" w:ascii="宋体" w:hAnsi="宋体" w:eastAsia="宋体" w:cs="宋体"/>
                <w:sz w:val="21"/>
                <w:szCs w:val="21"/>
                <w:lang w:eastAsia="zh-CN"/>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视频课堂包括商务英语、出国口语、英语四六级、考研英语、大学英语、国外考试、英语专四、韩语学习与韩国文化、法语学习与法国文化、西班牙语学习与西班牙文化、日语学习与日本文化、德语学习与德国文化等内容。掌上题库包括听力题库、词汇语法题库、口语题库等内容。影视赏析精选国外如心灵奇旅、1/2魔法、神奇动物2、白日梦想家、成为简·奥斯丁、机械姬等影视内容。趣味听听包括经典美文、英美文化、童话寓言、美国名校毕业演讲、留美英语、电影故事等内容。双语悦读包括主题阅读、四六级阅读、趣味阅读、考研英语阅读等内容。阅读训练包括3分钟阅读、5分钟阅读、8分钟阅读等内容。1000余门课程，8000多个知识点。</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课程内容均为原创资源，拥有自主知识产权，依托实体培训办学机构，由业界教师录制，同时不存在任何版权纠纷。</w:t>
            </w:r>
            <w:r>
              <w:rPr>
                <w:rFonts w:hint="eastAsia" w:ascii="宋体" w:hAnsi="宋体" w:eastAsia="宋体" w:cs="宋体"/>
                <w:sz w:val="21"/>
                <w:szCs w:val="21"/>
                <w:lang w:eastAsia="zh-CN"/>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 xml:space="preserve"> 视频内容使用MP4格式制作。MP4课件类型，视频编码为AVC（H264），屏幕大小分辨率不低于640x360，比特率300KB/秒以上，每秒25帧。音频编码AAC，音频采样率48000赫兹，比特率不低于120K，声道为双声道，支持课程倍速播放，听课进度可自行调节。</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 xml:space="preserve"> 音频类课程，文件格式为MP3类型，采样率44100赫兹，比特率不低于40KB/秒，声道为双声道立体声。</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 xml:space="preserve"> 视频类、音频类、文本类课程均支持校内校外网络访问并保持实时更新。</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课件符合QA标准：课件中的文字错误率，要求在3/10000字以下；课件中声音和文字完全匹配。</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课件的视频要求为：视频亮度对比度合适，不能出现逆光，光线过强或过暗；画面构图合理，比如不能出现如人物削掉头或削掉半边身体之类；画面稳定不能画面抖动；无内容残缺和马赛克之类视频损伤。</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拥有便捷高效的在线学习平台，支持与学校或图书馆的身份认证服务，可与学号/借阅证号等个人信息对接。</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支持收藏课程、在线练习，提供个人学习记录，以及错题针对性练习，满足个性化移动学习需求。授课教师为著名一线教师。</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提供商拥有面授培训机构，并拥有完整的服务标准和体系。课程内容为原创资源，拥有自主知识产权和自主版权，且通过资源商自有销售网络进行营销，以最大程度保证使用者的权益。同时提供商的培训机构具备一定规模，拥有良好的品牌和口碑，有十年以上的教育培训经验的积累。以作为平台运营的服务依托，培训机构拥有大量社会公认的知名培训师资队伍，平台中的授课教师均为经过严格评选机制筛选出的优质教师。</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 xml:space="preserve"> 数据库课程通过网络远程访问，不占用本地空间，提供远程数据管理与维护。随时对客户的问题及要求做出响应。</w:t>
            </w:r>
            <w:r>
              <w:rPr>
                <w:rFonts w:hint="eastAsia" w:ascii="宋体" w:hAnsi="宋体" w:eastAsia="宋体" w:cs="宋体"/>
                <w:sz w:val="21"/>
                <w:szCs w:val="21"/>
                <w:lang w:val="en-US" w:eastAsia="zh-CN"/>
              </w:rPr>
              <w:t>提供2025年使用权。</w:t>
            </w:r>
          </w:p>
        </w:tc>
        <w:tc>
          <w:tcPr>
            <w:tcW w:w="390" w:type="dxa"/>
            <w:vAlign w:val="center"/>
          </w:tcPr>
          <w:p w14:paraId="2B5AC18E">
            <w:pPr>
              <w:jc w:val="center"/>
              <w:rPr>
                <w:rFonts w:hint="default"/>
                <w:vertAlign w:val="baseline"/>
                <w:lang w:val="en-US" w:eastAsia="zh-CN"/>
              </w:rPr>
            </w:pPr>
            <w:r>
              <w:rPr>
                <w:rFonts w:hint="eastAsia"/>
                <w:vertAlign w:val="baseline"/>
                <w:lang w:val="en-US" w:eastAsia="zh-CN"/>
              </w:rPr>
              <w:t>1项</w:t>
            </w:r>
          </w:p>
        </w:tc>
        <w:tc>
          <w:tcPr>
            <w:tcW w:w="450" w:type="dxa"/>
          </w:tcPr>
          <w:p w14:paraId="721A23CE">
            <w:pPr>
              <w:rPr>
                <w:rFonts w:hint="default"/>
                <w:vertAlign w:val="baseline"/>
                <w:lang w:val="en-US" w:eastAsia="zh-CN"/>
              </w:rPr>
            </w:pPr>
          </w:p>
        </w:tc>
      </w:tr>
      <w:tr w14:paraId="452E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391" w:type="dxa"/>
            <w:vAlign w:val="center"/>
          </w:tcPr>
          <w:p w14:paraId="029E959F">
            <w:pPr>
              <w:jc w:val="center"/>
              <w:rPr>
                <w:rFonts w:hint="default"/>
                <w:vertAlign w:val="baseline"/>
                <w:lang w:val="en-US" w:eastAsia="zh-CN"/>
              </w:rPr>
            </w:pPr>
            <w:r>
              <w:rPr>
                <w:rFonts w:hint="eastAsia"/>
                <w:vertAlign w:val="baseline"/>
                <w:lang w:val="en-US" w:eastAsia="zh-CN"/>
              </w:rPr>
              <w:t>8</w:t>
            </w:r>
          </w:p>
        </w:tc>
        <w:tc>
          <w:tcPr>
            <w:tcW w:w="423" w:type="dxa"/>
            <w:vAlign w:val="center"/>
          </w:tcPr>
          <w:p w14:paraId="3B2E5D1E">
            <w:pPr>
              <w:jc w:val="center"/>
              <w:rPr>
                <w:rFonts w:hint="default"/>
                <w:vertAlign w:val="baseline"/>
                <w:lang w:val="en-US" w:eastAsia="zh-CN"/>
              </w:rPr>
            </w:pPr>
            <w:r>
              <w:rPr>
                <w:rFonts w:hint="eastAsia" w:ascii="宋体" w:hAnsi="宋体" w:eastAsia="宋体" w:cs="宋体"/>
                <w:sz w:val="21"/>
                <w:szCs w:val="21"/>
                <w:lang w:val="en-US" w:eastAsia="zh-CN"/>
              </w:rPr>
              <w:t>专利检索分析系统</w:t>
            </w:r>
          </w:p>
        </w:tc>
        <w:tc>
          <w:tcPr>
            <w:tcW w:w="6735" w:type="dxa"/>
            <w:vAlign w:val="top"/>
          </w:tcPr>
          <w:p w14:paraId="7A3E97D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rPr>
              <w:t>1.数据范围</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（1）收录全球不低于105个国家/地区专利数据，不低于1.</w:t>
            </w: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亿件全球专利信息，60个国家/地区的法律状态，不低于45个国家/地区的代码化全文，38个国家/地区的小语种优质英文翻译；</w:t>
            </w:r>
            <w:r>
              <w:rPr>
                <w:rFonts w:hint="eastAsia" w:ascii="宋体" w:hAnsi="宋体" w:eastAsia="宋体" w:cs="宋体"/>
                <w:b w:val="0"/>
                <w:bCs/>
                <w:color w:val="000000" w:themeColor="text1"/>
                <w:sz w:val="21"/>
                <w:szCs w:val="21"/>
                <w14:textFill>
                  <w14:solidFill>
                    <w14:schemeClr w14:val="tx1"/>
                  </w14:solidFill>
                </w14:textFill>
              </w:rPr>
              <w:t>（2）支持提供美国增值数据，可自动计算续展天数，明确公知技术，INPADOC同族专利数据，DOCDB引证数据；（3）具备英国、美国、加拿大、瑞士、德国、欧洲、日本7个国家/地区的期限延长PTE数据，以及美国期限调整PTA数据。</w:t>
            </w:r>
            <w:r>
              <w:rPr>
                <w:rFonts w:hint="eastAsia" w:ascii="宋体" w:hAnsi="宋体" w:eastAsia="宋体" w:cs="宋体"/>
                <w:b w:val="0"/>
                <w:bCs/>
                <w:color w:val="000000" w:themeColor="text1"/>
                <w:kern w:val="2"/>
                <w:sz w:val="21"/>
                <w:szCs w:val="21"/>
                <w14:textFill>
                  <w14:solidFill>
                    <w14:schemeClr w14:val="tx1"/>
                  </w14:solidFill>
                </w14:textFill>
              </w:rPr>
              <w:t>（4）支持全球范围内 名称摘要的中文数据</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2.数据更新。支持中国数据每周2+次以上更新，国外数据每周5+次以上更新。3.专利检索。</w:t>
            </w:r>
            <w:r>
              <w:rPr>
                <w:rFonts w:hint="eastAsia" w:ascii="宋体" w:hAnsi="宋体" w:eastAsia="宋体" w:cs="宋体"/>
                <w:b w:val="0"/>
                <w:bCs/>
                <w:color w:val="000000" w:themeColor="text1"/>
                <w:sz w:val="21"/>
                <w:szCs w:val="21"/>
                <w14:textFill>
                  <w14:solidFill>
                    <w14:schemeClr w14:val="tx1"/>
                  </w14:solidFill>
                </w14:textFill>
              </w:rPr>
              <w:t>（1）支持DPI检索、STEP检索、</w:t>
            </w:r>
            <w:r>
              <w:rPr>
                <w:rFonts w:hint="eastAsia" w:ascii="宋体" w:hAnsi="宋体" w:eastAsia="宋体" w:cs="宋体"/>
                <w:b w:val="0"/>
                <w:bCs/>
                <w:sz w:val="21"/>
                <w:szCs w:val="21"/>
              </w:rPr>
              <w:t>AI智能检索、法律状态检索、复审无效检索等不低于十四种检索方式；</w:t>
            </w:r>
            <w:r>
              <w:rPr>
                <w:rFonts w:hint="eastAsia" w:ascii="宋体" w:hAnsi="宋体" w:eastAsia="宋体" w:cs="宋体"/>
                <w:b w:val="0"/>
                <w:bCs/>
                <w:color w:val="000000" w:themeColor="text1"/>
                <w:sz w:val="21"/>
                <w:szCs w:val="21"/>
                <w14:textFill>
                  <w14:solidFill>
                    <w14:schemeClr w14:val="tx1"/>
                  </w14:solidFill>
                </w14:textFill>
              </w:rPr>
              <w:t>（2）具备CPC组合码即C-sets，并支持其检索、查看、下载；（3）提供检索式校验功能，自动识别出检索式错误，高亮提示；（4）支持根据检索式逻辑关系进行智能换行和缩进，快速格式化，便于理解检索式的逻辑关系。（5）逻辑运算符and not or 同时还可以用 * - +或者逗号等替换使用，支持adj、equ、pre等高级位置运算符操作，适用不同使用习惯的使用者。</w:t>
            </w:r>
            <w:r>
              <w:rPr>
                <w:rFonts w:hint="eastAsia" w:ascii="宋体" w:hAnsi="宋体" w:eastAsia="宋体" w:cs="宋体"/>
                <w:b w:val="0"/>
                <w:bCs/>
                <w:sz w:val="21"/>
                <w:szCs w:val="21"/>
              </w:rPr>
              <w:t>4.检索字段。支持同族信息、引证信息、法律状态信息等近百个混合检索字段。5.在线翻译。支持中英日文在线翻译，可自由切换。6.辅助查询工具。支持申请人字典、同族、引证、复审、无效、审查信息等不低于二十种辅助查询工具。</w:t>
            </w:r>
          </w:p>
          <w:p w14:paraId="6C5CDDBF">
            <w:pPr>
              <w:keepNext w:val="0"/>
              <w:keepLines w:val="0"/>
              <w:pageBreakBefore w:val="0"/>
              <w:kinsoku/>
              <w:wordWrap/>
              <w:overflowPunct/>
              <w:topLinePunct w:val="0"/>
              <w:autoSpaceDE/>
              <w:autoSpaceDN/>
              <w:bidi w:val="0"/>
              <w:adjustRightInd/>
              <w:snapToGrid/>
              <w:spacing w:line="240" w:lineRule="auto"/>
              <w:rPr>
                <w:rFonts w:hint="eastAsia" w:eastAsia="宋体"/>
                <w:vertAlign w:val="baseline"/>
                <w:lang w:val="en-US" w:eastAsia="zh-CN"/>
              </w:rPr>
            </w:pPr>
            <w:r>
              <w:rPr>
                <w:rFonts w:hint="eastAsia" w:ascii="宋体" w:hAnsi="宋体" w:eastAsia="宋体" w:cs="宋体"/>
                <w:b w:val="0"/>
                <w:bCs/>
                <w:sz w:val="21"/>
                <w:szCs w:val="21"/>
              </w:rPr>
              <w:t>7.数据浏览与筛选。</w:t>
            </w:r>
            <w:r>
              <w:rPr>
                <w:rFonts w:hint="eastAsia" w:ascii="宋体" w:hAnsi="宋体" w:eastAsia="宋体" w:cs="宋体"/>
                <w:b w:val="0"/>
                <w:bCs/>
                <w:color w:val="000000" w:themeColor="text1"/>
                <w:sz w:val="21"/>
                <w:szCs w:val="21"/>
                <w14:textFill>
                  <w14:solidFill>
                    <w14:schemeClr w14:val="tx1"/>
                  </w14:solidFill>
                </w14:textFill>
              </w:rPr>
              <w:t>支持全英文界面、全日文界面展示；支持DPI、</w:t>
            </w:r>
            <w:r>
              <w:rPr>
                <w:rFonts w:hint="eastAsia" w:ascii="宋体" w:hAnsi="宋体" w:eastAsia="宋体" w:cs="宋体"/>
                <w:b w:val="0"/>
                <w:bCs/>
                <w:sz w:val="21"/>
                <w:szCs w:val="21"/>
              </w:rPr>
              <w:t>同族、被引证数等不低于13种排序展示方式；支持高亮显示；支持公开、授权两个阶段的权利要求书支持对比查看，并高亮显示区别点。</w:t>
            </w: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rPr>
              <w:t>.数据分析。</w:t>
            </w:r>
            <w:r>
              <w:rPr>
                <w:rFonts w:hint="eastAsia" w:ascii="宋体" w:hAnsi="宋体" w:eastAsia="宋体" w:cs="宋体"/>
                <w:b w:val="0"/>
                <w:bCs/>
                <w:color w:val="000000" w:themeColor="text1"/>
                <w:sz w:val="21"/>
                <w:szCs w:val="21"/>
                <w14:textFill>
                  <w14:solidFill>
                    <w14:schemeClr w14:val="tx1"/>
                  </w14:solidFill>
                </w14:textFill>
              </w:rPr>
              <w:t>支持不低于多个维度100余种分析模板；支持热力图、关系图、词云图等聚类分析的图形呈现。支持审查员引证等各类引证分析；支持自定义与三维分析。</w:t>
            </w:r>
            <w:r>
              <w:rPr>
                <w:rFonts w:hint="eastAsia" w:ascii="宋体" w:hAnsi="宋体" w:eastAsia="宋体" w:cs="宋体"/>
                <w:b w:val="0"/>
                <w:bCs/>
                <w:color w:val="000000" w:themeColor="text1"/>
                <w:sz w:val="21"/>
                <w:szCs w:val="21"/>
                <w:lang w:val="en-US" w:eastAsia="zh-CN"/>
                <w14:textFill>
                  <w14:solidFill>
                    <w14:schemeClr w14:val="tx1"/>
                  </w14:solidFill>
                </w14:textFill>
              </w:rPr>
              <w:t>9</w:t>
            </w:r>
            <w:r>
              <w:rPr>
                <w:rFonts w:hint="eastAsia" w:ascii="宋体" w:hAnsi="宋体" w:eastAsia="宋体" w:cs="宋体"/>
                <w:b w:val="0"/>
                <w:bCs/>
                <w:color w:val="000000" w:themeColor="text1"/>
                <w:sz w:val="21"/>
                <w:szCs w:val="21"/>
                <w14:textFill>
                  <w14:solidFill>
                    <w14:schemeClr w14:val="tx1"/>
                  </w14:solidFill>
                </w14:textFill>
              </w:rPr>
              <w:t>. 提供专利价值各个维度的统计分析功能。如：专利价值星级分布、DPI申请阶段对比分析、DPI年度构成分析、申请人DPI分析、申请人专利价值分析、申请人DPI维度分析、发明人DPI分析、发明人技术价值分析、代理机构法律价值分析、创新活跃度分析等等。1</w:t>
            </w:r>
            <w:r>
              <w:rPr>
                <w:rFonts w:hint="eastAsia" w:ascii="宋体" w:hAnsi="宋体" w:eastAsia="宋体" w:cs="宋体"/>
                <w:b w:val="0"/>
                <w:bCs/>
                <w:color w:val="000000" w:themeColor="text1"/>
                <w:sz w:val="21"/>
                <w:szCs w:val="21"/>
                <w:lang w:val="en-US" w:eastAsia="zh-CN"/>
                <w14:textFill>
                  <w14:solidFill>
                    <w14:schemeClr w14:val="tx1"/>
                  </w14:solidFill>
                </w14:textFill>
              </w:rPr>
              <w:t>0</w:t>
            </w:r>
            <w:r>
              <w:rPr>
                <w:rFonts w:hint="eastAsia" w:ascii="宋体" w:hAnsi="宋体" w:eastAsia="宋体" w:cs="宋体"/>
                <w:b w:val="0"/>
                <w:bCs/>
                <w:color w:val="000000" w:themeColor="text1"/>
                <w:sz w:val="21"/>
                <w:szCs w:val="21"/>
                <w14:textFill>
                  <w14:solidFill>
                    <w14:schemeClr w14:val="tx1"/>
                  </w14:solidFill>
                </w14:textFill>
              </w:rPr>
              <w:t>.监控与下载。（1）支持监控专利数据</w:t>
            </w:r>
            <w:r>
              <w:rPr>
                <w:rFonts w:hint="eastAsia" w:ascii="宋体" w:hAnsi="宋体" w:eastAsia="宋体" w:cs="宋体"/>
                <w:color w:val="000000" w:themeColor="text1"/>
                <w:sz w:val="21"/>
                <w:szCs w:val="21"/>
                <w14:textFill>
                  <w14:solidFill>
                    <w14:schemeClr w14:val="tx1"/>
                  </w14:solidFill>
                </w14:textFill>
              </w:rPr>
              <w:t>的法律状态、同族、引证等各类信息；支持Excel\HTML\Word\Text格式的自定义格式、自定义模板的下载；（2）支持一键导出AI查新报告和专利价值评估报告</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sz w:val="21"/>
                <w:szCs w:val="21"/>
                <w:lang w:val="en-US" w:eastAsia="zh-CN"/>
              </w:rPr>
              <w:t>提供2025年使用权。</w:t>
            </w:r>
          </w:p>
        </w:tc>
        <w:tc>
          <w:tcPr>
            <w:tcW w:w="390" w:type="dxa"/>
            <w:vAlign w:val="center"/>
          </w:tcPr>
          <w:p w14:paraId="25FE4B0E">
            <w:pPr>
              <w:jc w:val="center"/>
              <w:rPr>
                <w:rFonts w:hint="default"/>
                <w:vertAlign w:val="baseline"/>
                <w:lang w:val="en-US" w:eastAsia="zh-CN"/>
              </w:rPr>
            </w:pPr>
            <w:r>
              <w:rPr>
                <w:rFonts w:hint="eastAsia"/>
                <w:vertAlign w:val="baseline"/>
                <w:lang w:val="en-US" w:eastAsia="zh-CN"/>
              </w:rPr>
              <w:t>1项</w:t>
            </w:r>
          </w:p>
        </w:tc>
        <w:tc>
          <w:tcPr>
            <w:tcW w:w="450" w:type="dxa"/>
          </w:tcPr>
          <w:p w14:paraId="3E7AE953">
            <w:pPr>
              <w:rPr>
                <w:rFonts w:hint="default"/>
                <w:vertAlign w:val="baseline"/>
                <w:lang w:val="en-US" w:eastAsia="zh-CN"/>
              </w:rPr>
            </w:pPr>
          </w:p>
        </w:tc>
      </w:tr>
      <w:tr w14:paraId="46F0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trPr>
        <w:tc>
          <w:tcPr>
            <w:tcW w:w="391" w:type="dxa"/>
            <w:vAlign w:val="center"/>
          </w:tcPr>
          <w:p w14:paraId="5E63C13A">
            <w:pPr>
              <w:jc w:val="center"/>
              <w:rPr>
                <w:rFonts w:hint="default"/>
                <w:vertAlign w:val="baseline"/>
                <w:lang w:val="en-US" w:eastAsia="zh-CN"/>
              </w:rPr>
            </w:pPr>
            <w:r>
              <w:rPr>
                <w:rFonts w:hint="eastAsia"/>
                <w:vertAlign w:val="baseline"/>
                <w:lang w:val="en-US" w:eastAsia="zh-CN"/>
              </w:rPr>
              <w:t>9</w:t>
            </w:r>
          </w:p>
        </w:tc>
        <w:tc>
          <w:tcPr>
            <w:tcW w:w="423" w:type="dxa"/>
            <w:vAlign w:val="center"/>
          </w:tcPr>
          <w:p w14:paraId="177F93E8">
            <w:pPr>
              <w:jc w:val="center"/>
              <w:rPr>
                <w:rFonts w:hint="default"/>
                <w:vertAlign w:val="baseline"/>
                <w:lang w:val="en-US" w:eastAsia="zh-CN"/>
              </w:rPr>
            </w:pPr>
            <w:r>
              <w:rPr>
                <w:rFonts w:hint="eastAsia" w:ascii="宋体" w:hAnsi="宋体" w:eastAsia="宋体" w:cs="宋体"/>
                <w:sz w:val="21"/>
                <w:szCs w:val="21"/>
                <w:lang w:val="en-US" w:eastAsia="zh-CN"/>
              </w:rPr>
              <w:t>全学科学术报告类资源数据库</w:t>
            </w:r>
          </w:p>
        </w:tc>
        <w:tc>
          <w:tcPr>
            <w:tcW w:w="6735" w:type="dxa"/>
            <w:vAlign w:val="top"/>
          </w:tcPr>
          <w:p w14:paraId="13A9CD7B">
            <w:pPr>
              <w:jc w:val="both"/>
              <w:rPr>
                <w:rFonts w:hint="default"/>
                <w:vertAlign w:val="baseline"/>
                <w:lang w:val="en-US" w:eastAsia="zh-CN"/>
              </w:rPr>
            </w:pPr>
            <w:r>
              <w:rPr>
                <w:rFonts w:hint="eastAsia" w:ascii="宋体" w:hAnsi="宋体" w:eastAsia="宋体" w:cs="宋体"/>
                <w:sz w:val="21"/>
                <w:szCs w:val="21"/>
                <w:lang w:val="en-US" w:eastAsia="zh-CN"/>
              </w:rPr>
              <w:t>1、平台视频资源满足在校大学生学习的需求，包含“学术报告”和“学术鉴赏”两大资源板块。其中“学术报告”部分应包括综合素质、营销系列、医学系列、心理健康、文史系列、外语学习、体育系列、农林系列、理工系列、就业择业、经管系列、教育培训、法律视点、党政系列共计14大学术报告系列，视频总计不少于20000篇；“学术鉴赏”包括旅游地理、军事系列、探索发现、对话四大栏目，视频总计不少于3500篇。2、支持手机端访问。提供手机WAP版、微信小程序版的访问方式。3、WAP端平台支持绑定机构官方微信公众号，用户通过入口直接输入账号和密码即可进入观看。3、每个课程包含视频、视频封面、课程简介、讲师简介、视频选集及相关课程等内容，方便用户找到核心内容，快速吸收知识点，增强学习效果。4、提供学习笔记功能，用户可以发布合规的笔记内容，支持收录他人的公开笔记。帮助用户记录知识点与学习心得。5、视频播放功能支持全屏播放、倍速播放、单集循环播放、截图等，并提供收藏、点赞和分享功能，帮助用户更加全面、便捷、流畅的学习使用。6、提供全库检索功能，用户可通过关键词检索课程、视频、专题、讲师信息，以便高效、便捷、精准的检索出多维度匹配内容。7、平台针对不同程度的用户，进行个性化的信息管理，提供个人中心功能。用户可以根据自身情况，注册相关个人信息，选择感兴趣的资源学习。8、满足后台辅助管理功能。通过管理员账号登录后台管理系统，实现课程资源数量、访问情况、播放情况的及时查询。提供2025年使用权。</w:t>
            </w:r>
          </w:p>
        </w:tc>
        <w:tc>
          <w:tcPr>
            <w:tcW w:w="390" w:type="dxa"/>
            <w:vAlign w:val="center"/>
          </w:tcPr>
          <w:p w14:paraId="454A3EA8">
            <w:pPr>
              <w:jc w:val="center"/>
              <w:rPr>
                <w:rFonts w:hint="default"/>
                <w:vertAlign w:val="baseline"/>
                <w:lang w:val="en-US" w:eastAsia="zh-CN"/>
              </w:rPr>
            </w:pPr>
            <w:r>
              <w:rPr>
                <w:rFonts w:hint="eastAsia"/>
                <w:vertAlign w:val="baseline"/>
                <w:lang w:val="en-US" w:eastAsia="zh-CN"/>
              </w:rPr>
              <w:t>1项</w:t>
            </w:r>
          </w:p>
        </w:tc>
        <w:tc>
          <w:tcPr>
            <w:tcW w:w="450" w:type="dxa"/>
          </w:tcPr>
          <w:p w14:paraId="2C63466B">
            <w:pPr>
              <w:rPr>
                <w:rFonts w:hint="default"/>
                <w:vertAlign w:val="baseline"/>
                <w:lang w:val="en-US" w:eastAsia="zh-CN"/>
              </w:rPr>
            </w:pPr>
          </w:p>
        </w:tc>
      </w:tr>
      <w:tr w14:paraId="43F2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391" w:type="dxa"/>
            <w:vAlign w:val="center"/>
          </w:tcPr>
          <w:p w14:paraId="4100C962">
            <w:pPr>
              <w:jc w:val="center"/>
              <w:rPr>
                <w:rFonts w:hint="default"/>
                <w:vertAlign w:val="baseline"/>
                <w:lang w:val="en-US" w:eastAsia="zh-CN"/>
              </w:rPr>
            </w:pPr>
            <w:r>
              <w:rPr>
                <w:rFonts w:hint="eastAsia"/>
                <w:vertAlign w:val="baseline"/>
                <w:lang w:val="en-US" w:eastAsia="zh-CN"/>
              </w:rPr>
              <w:t>10</w:t>
            </w:r>
          </w:p>
        </w:tc>
        <w:tc>
          <w:tcPr>
            <w:tcW w:w="423" w:type="dxa"/>
            <w:vAlign w:val="center"/>
          </w:tcPr>
          <w:p w14:paraId="5C1EF98D">
            <w:pPr>
              <w:jc w:val="center"/>
              <w:rPr>
                <w:rFonts w:hint="default"/>
                <w:vertAlign w:val="baseline"/>
                <w:lang w:val="en-US" w:eastAsia="zh-CN"/>
              </w:rPr>
            </w:pPr>
            <w:r>
              <w:rPr>
                <w:rFonts w:hint="eastAsia" w:ascii="宋体" w:hAnsi="宋体" w:eastAsia="宋体" w:cs="宋体"/>
                <w:sz w:val="21"/>
                <w:szCs w:val="21"/>
                <w:lang w:val="en-US" w:eastAsia="zh-CN"/>
              </w:rPr>
              <w:t>大学生职业技能学习培训类资源库</w:t>
            </w:r>
          </w:p>
        </w:tc>
        <w:tc>
          <w:tcPr>
            <w:tcW w:w="6735" w:type="dxa"/>
            <w:vAlign w:val="top"/>
          </w:tcPr>
          <w:p w14:paraId="5042CFA7">
            <w:pPr>
              <w:jc w:val="both"/>
              <w:rPr>
                <w:rFonts w:hint="default"/>
                <w:vertAlign w:val="baseline"/>
                <w:lang w:val="en-US" w:eastAsia="zh-CN"/>
              </w:rPr>
            </w:pPr>
            <w:r>
              <w:rPr>
                <w:rFonts w:hint="eastAsia" w:ascii="宋体" w:hAnsi="宋体" w:eastAsia="宋体" w:cs="宋体"/>
                <w:sz w:val="21"/>
                <w:szCs w:val="21"/>
                <w:lang w:val="en-US" w:eastAsia="zh-CN"/>
              </w:rPr>
              <w:t>1、资源内容满足并符合各类大学生的职业生涯规划的各个方向，即：语言学习、考研升学、就业创业、IT/互联网、职业考证、公务员考试、馆员发展等，具体资源内容要求如下：2、职业考证类资源，提供符合大学生条件的职业类考证，包括但不限于职业技能、公职考试、医药卫生、工程建筑、财会经贸、法律法规等，不少于15000篇。3、公务员考试类资源应包括面试、行测、申论三大方面，不少于2000篇。4、馆员发展类资源主要为图书馆开展资源建设、读者服务等工作提供相关信息参考与学习，也为信息资源管理相关专业的学生提供专业性的学习内容。内容包含图书馆行业发展相关的讲座、学术会议内容，以及读者服务、高校数字图书馆建设、图书馆学基础理论、古籍书发展、信息检索相关的专业学科内容。5、语言学习不少于2500篇，内容应包含四级英语、六级英语、英语笔译、英语口译、雅思等相关英语专业考试内容，以及商务英语、小语种等相关语言学习内容，满足就业后的职场应用需求。6、考研升学主要是提供研究生考试的相关资源，包括考研类的各方面资源，即考研数学、政治、英语等，不少于3000篇。7、就业创业类资源包括但不限于求职就业、职场提升、职业兴趣、创业辅导及岗位解析等全方位资源，不少于2000篇。8、IT/互联网资源包括但不限于产品、营销、编程开发、设计、软件办公等类别，以及当下热点技术相关内容，不少于3500篇。9、全平台全库视频资源篇数不少25000篇。10、平台以大学生职业规划理论为设计理念，平台提供职业测评、职场解读、求职技能、名师课堂、模拟考试等功能。11、平台包含职业测评功能，引入国际上最常使用、最权威的职业测评系统帮助学生全方位揭示深层职业潜质，掌握自己优势与劣势，从职业性格特征、职业倾向、职业价值观和职业成熟度四方面综合提高自我认知，明确职业发展方向，奠定坚实的职业规划基础。12、提供职场解读内容，内容包括当今热门岗位解读、知名企业解读、行业解读，介绍相关内容来为用户深度解读职场信息。13、平台提供求职技能内容，从“人职匹配”原理出发，针对具体用人单位招聘过程中的面试、笔试、简历、网申四大环节做文字内容的整理，帮助广大用户借鉴求职经验，确立求职目标。14、平台提供名师课堂功能，可通过资源内容分类和课时维度，筛选讲师，帮助用户有目的性的快速查找到相应的讲师，查看其相关的课程资源。15、平台提供相关模拟试题，用户可自行进行在线测试，提交试卷后可展示答题结果及正确答案，帮助用户及时掌握学习程度，达到“教与学，考与练”相结合的效果。16、课程中心每个课程包含视频、简介、选集列表、讲师简介以及相关课程等内容，方便用户找到核心内容，快速吸收知识点，增强学习效果。17、提供学习笔记功能，用户可以发布合规的笔记内容， 支持收录他人的公开笔记。帮助用户记录知识点与学习心得。18、提供全库检索功能。用户可通过关键词实现课程、专家、资讯的内容检索，高效、系统地检索出匹配内容来进行点击学习。19、支持手机端访问。提供手机WAP版、微信小程序版的访问方式。20、WAP端平台支持绑定机构官方微信公众号，用户通过入口直接输入账号和密码即可进入观看。提供2025年使用权。</w:t>
            </w:r>
          </w:p>
        </w:tc>
        <w:tc>
          <w:tcPr>
            <w:tcW w:w="390" w:type="dxa"/>
            <w:vAlign w:val="center"/>
          </w:tcPr>
          <w:p w14:paraId="2C1E0EC8">
            <w:pPr>
              <w:jc w:val="center"/>
              <w:rPr>
                <w:rFonts w:hint="default"/>
                <w:vertAlign w:val="baseline"/>
                <w:lang w:val="en-US" w:eastAsia="zh-CN"/>
              </w:rPr>
            </w:pPr>
            <w:r>
              <w:rPr>
                <w:rFonts w:hint="eastAsia"/>
                <w:vertAlign w:val="baseline"/>
                <w:lang w:val="en-US" w:eastAsia="zh-CN"/>
              </w:rPr>
              <w:t>1项</w:t>
            </w:r>
          </w:p>
        </w:tc>
        <w:tc>
          <w:tcPr>
            <w:tcW w:w="450" w:type="dxa"/>
          </w:tcPr>
          <w:p w14:paraId="3DEC6ED6">
            <w:pPr>
              <w:rPr>
                <w:rFonts w:hint="default"/>
                <w:vertAlign w:val="baseline"/>
                <w:lang w:val="en-US" w:eastAsia="zh-CN"/>
              </w:rPr>
            </w:pPr>
          </w:p>
        </w:tc>
      </w:tr>
      <w:tr w14:paraId="0309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391" w:type="dxa"/>
            <w:vAlign w:val="center"/>
          </w:tcPr>
          <w:p w14:paraId="54A8C0FD">
            <w:pPr>
              <w:jc w:val="center"/>
              <w:rPr>
                <w:rFonts w:hint="default"/>
                <w:vertAlign w:val="baseline"/>
                <w:lang w:val="en-US" w:eastAsia="zh-CN"/>
              </w:rPr>
            </w:pPr>
            <w:r>
              <w:rPr>
                <w:rFonts w:hint="eastAsia"/>
                <w:vertAlign w:val="baseline"/>
                <w:lang w:val="en-US" w:eastAsia="zh-CN"/>
              </w:rPr>
              <w:t>11</w:t>
            </w:r>
          </w:p>
        </w:tc>
        <w:tc>
          <w:tcPr>
            <w:tcW w:w="423" w:type="dxa"/>
            <w:vAlign w:val="center"/>
          </w:tcPr>
          <w:p w14:paraId="3CD93154">
            <w:pPr>
              <w:jc w:val="center"/>
              <w:rPr>
                <w:rFonts w:hint="default"/>
                <w:vertAlign w:val="baseline"/>
                <w:lang w:val="en-US" w:eastAsia="zh-CN"/>
              </w:rPr>
            </w:pPr>
            <w:r>
              <w:rPr>
                <w:rFonts w:hint="eastAsia" w:ascii="宋体" w:hAnsi="宋体" w:eastAsia="宋体" w:cs="宋体"/>
                <w:sz w:val="21"/>
                <w:szCs w:val="21"/>
                <w:lang w:val="en-US" w:eastAsia="zh-CN"/>
              </w:rPr>
              <w:t>计算机软件自助式学习系统</w:t>
            </w:r>
          </w:p>
        </w:tc>
        <w:tc>
          <w:tcPr>
            <w:tcW w:w="6735" w:type="dxa"/>
            <w:vAlign w:val="top"/>
          </w:tcPr>
          <w:p w14:paraId="4CD97A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视频课程内容要求1、视频学习资源需有自主知识版权的权威性教学相关资源，须有相关行业或学科专业教师或专业人员录制，不得为互联网下载或随意录制内容，产品的每一个视频包含厂商的防伪水印标识。</w:t>
            </w:r>
          </w:p>
          <w:p w14:paraId="14C331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要涵盖主流的计算机软件课程，软件种类需达到270种以上，视频总数不得低于70000个微视频课程。每年更新量需要超过总量视频总量的15%。每个视频需要满足学生学习要求，要保证视频质量，不能滥竽充数，绝对不能出现同一知识点对应多个视频，多人讲解的情况。3、课程至少包含高效办公类、产品设计类、三维设计类、平面设计类、影视后期设计类、人工智能类、大数据类、建筑设计类、工业设计类、室内景观设计类、系统运维类、编程语言类、移动开发类、Web开发类、数据库技术类、嵌入式开发类、考试认证类软件课程。4、内容需包含基础课程和案例课程，按照学习难度逐步递进学习使用软件，案例教程必须搭配对应的素材，以方便学生应用。5、能够针对不同学习者提供多种分类方式，至少应提供软件分类、课程分类、职业分类和院系分类四种分类方式。</w:t>
            </w:r>
          </w:p>
          <w:p w14:paraId="5BD9CB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针对计算机软件教学的特殊性课程必须采用录屏形式录制完成，要求课程即有理论的讲解也有大量的案例分析。视频语音需同步讲解，所有视频采用统一的录制标准和讲解规范，全部视频分辨率不得低于1280*720。特定的视频课程中还必须包含中文字幕。视频课程为典型的微课程，每个视频要求在3-15分钟以内，用以方便学生检索和学习。</w:t>
            </w:r>
          </w:p>
          <w:p w14:paraId="01E05B5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二、平台功能要求1、前台功能：该产品必须是纯学习平台,可以包含企业或产品的Logo或名字，但不得包含广告发布或者带有盈利性质的宣传。个性化专业设置，满足不同层次的个性化需求，体现按需学习理念。可以按照不同专业搜索专业所需软件，按照专业进行软件课程的学习，灵活地安排自己的学习计划和学习内容，体现按需学习的理念，打造个性化的学习空间；视频可进行点击下载、使用、观看视频，播放器的播放窗口底部工具栏有播放、暂停、停止、向后跳进、快进、快退，向前跳进、浏览播放列表中的每个剪辑等功能按钮。视频旁需有详细目录显示，可通过目录进行视频选择、播放；平台支持PC端以及移动终端如手机、PAD等访问，方便客户群体采用多种工具进行浏览学习；平台需要能够自动生成用户个人空间，用户注册后，计算机技能自助式网络视频学习系统会自动生成“个人网络学习空间”对收藏的课程、播放过的视频及学习过程进行管理；并且可通过账户密码进行馆外访问服务。为方便读者学习，课程播放的同时，可以通过窗口下方的工具按钮观看、收藏、笔记、答疑、分享、转发视频，加入“我的课程”，下载教程和示例文件等。2、后台功能：该产品须有完善的后台管理功能，方便管理人员随时全面掌握整个系统的使用情况.，快速获得平台安装的视频数据，视频浏览量和下载次数等详细统计信息，管理员也可以方便地导入和导出后台统计的详细数据信息。用户管理：用户身份、权限以及注册和登录的管理；课程管理：创建个性化的学习课程，并对学习目标、学习过程和学习结果等进行管理；交互管理：通过学习交流模块，学生可对学习过程中的问题进行在线咨询和解答；统计管理：后台统计信息包含用户注册统计；安装数据统计；IP段下载量统计；浏览记录统计（可分类）；安装数据统计（按分类）；视频下载统计（按分类）；和浏览下载综合统计功能。浏览记录统计包含来访IP，知识点名称、知识点类型、浏览时间、用户名称、分类信息项等详细信息。搜索功能：平台可进行课程搜索，软件搜索，视频搜索，案例搜索，搜搜方式为SQL全文检索功能搜索，可检索到具体的课程、软件、视频和案例。三、产品服务1、系统安装需支持本地镜像、国内镜像、国外镜像、在线访问以及光盘或本地安装。2、需为客户提供线上服务平台，并可通过此服务平台协助客户做线上的各种线上大赛活动，提高学生学习软件的兴趣，更好的提供服务。数据库更新：数据每年更新一次，更新方式为上门安装或网络更新。更新的数据有原有软件深度开发，原有软件的新版本，新增软件以及按照市场需求的开发和个性化定制。适用用户范围：适用所有院系，所有学科，对于使用人数没有限制。</w:t>
            </w:r>
            <w:r>
              <w:rPr>
                <w:rFonts w:hint="eastAsia" w:ascii="宋体" w:hAnsi="宋体" w:eastAsia="宋体" w:cs="宋体"/>
                <w:sz w:val="21"/>
                <w:szCs w:val="21"/>
                <w:lang w:val="en-US" w:eastAsia="zh-CN"/>
              </w:rPr>
              <w:t>提供2025年使用权。</w:t>
            </w:r>
          </w:p>
        </w:tc>
        <w:tc>
          <w:tcPr>
            <w:tcW w:w="390" w:type="dxa"/>
            <w:vAlign w:val="center"/>
          </w:tcPr>
          <w:p w14:paraId="394C196B">
            <w:pPr>
              <w:jc w:val="center"/>
              <w:rPr>
                <w:rFonts w:hint="default"/>
                <w:vertAlign w:val="baseline"/>
                <w:lang w:val="en-US" w:eastAsia="zh-CN"/>
              </w:rPr>
            </w:pPr>
            <w:r>
              <w:rPr>
                <w:rFonts w:hint="eastAsia"/>
                <w:vertAlign w:val="baseline"/>
                <w:lang w:val="en-US" w:eastAsia="zh-CN"/>
              </w:rPr>
              <w:t>1项</w:t>
            </w:r>
          </w:p>
        </w:tc>
        <w:tc>
          <w:tcPr>
            <w:tcW w:w="450" w:type="dxa"/>
          </w:tcPr>
          <w:p w14:paraId="7E948B8C">
            <w:pPr>
              <w:rPr>
                <w:rFonts w:hint="default"/>
                <w:vertAlign w:val="baseline"/>
                <w:lang w:val="en-US" w:eastAsia="zh-CN"/>
              </w:rPr>
            </w:pPr>
          </w:p>
        </w:tc>
      </w:tr>
      <w:tr w14:paraId="30FE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391" w:type="dxa"/>
            <w:vAlign w:val="center"/>
          </w:tcPr>
          <w:p w14:paraId="72D934AD">
            <w:pPr>
              <w:jc w:val="center"/>
              <w:rPr>
                <w:rFonts w:hint="default"/>
                <w:vertAlign w:val="baseline"/>
                <w:lang w:val="en-US" w:eastAsia="zh-CN"/>
              </w:rPr>
            </w:pPr>
            <w:r>
              <w:rPr>
                <w:rFonts w:hint="eastAsia"/>
                <w:vertAlign w:val="baseline"/>
                <w:lang w:val="en-US" w:eastAsia="zh-CN"/>
              </w:rPr>
              <w:t>12</w:t>
            </w:r>
          </w:p>
        </w:tc>
        <w:tc>
          <w:tcPr>
            <w:tcW w:w="423" w:type="dxa"/>
            <w:vAlign w:val="center"/>
          </w:tcPr>
          <w:p w14:paraId="15BC3583">
            <w:pPr>
              <w:jc w:val="center"/>
              <w:rPr>
                <w:rFonts w:hint="default"/>
                <w:vertAlign w:val="baseline"/>
                <w:lang w:val="en-US" w:eastAsia="zh-CN"/>
              </w:rPr>
            </w:pPr>
            <w:r>
              <w:rPr>
                <w:rFonts w:hint="eastAsia" w:ascii="宋体" w:hAnsi="宋体" w:eastAsia="宋体" w:cs="宋体"/>
                <w:sz w:val="21"/>
                <w:szCs w:val="21"/>
                <w:lang w:val="en-US" w:eastAsia="zh-CN"/>
              </w:rPr>
              <w:t>高校图书馆考研阅览室学习资源平台</w:t>
            </w:r>
          </w:p>
        </w:tc>
        <w:tc>
          <w:tcPr>
            <w:tcW w:w="6735" w:type="dxa"/>
            <w:vAlign w:val="top"/>
          </w:tcPr>
          <w:p w14:paraId="1DF96674">
            <w:pPr>
              <w:pStyle w:val="7"/>
              <w:keepNext w:val="0"/>
              <w:keepLines w:val="0"/>
              <w:pageBreakBefore w:val="0"/>
              <w:kinsoku/>
              <w:wordWrap/>
              <w:overflowPunct/>
              <w:topLinePunct w:val="0"/>
              <w:autoSpaceDE/>
              <w:autoSpaceDN/>
              <w:bidi w:val="0"/>
              <w:adjustRightInd/>
              <w:snapToGrid/>
              <w:spacing w:before="66" w:line="240" w:lineRule="auto"/>
              <w:ind w:right="76"/>
              <w:rPr>
                <w:rFonts w:hint="default"/>
                <w:vertAlign w:val="baseline"/>
                <w:lang w:val="en-US" w:eastAsia="zh-CN"/>
              </w:rPr>
            </w:pPr>
            <w:r>
              <w:rPr>
                <w:rFonts w:hint="eastAsia" w:ascii="宋体" w:hAnsi="宋体" w:eastAsia="宋体" w:cs="宋体"/>
                <w:i w:val="0"/>
                <w:iCs w:val="0"/>
                <w:color w:val="000000"/>
                <w:kern w:val="0"/>
                <w:sz w:val="21"/>
                <w:szCs w:val="21"/>
                <w:u w:val="none"/>
                <w:lang w:val="en-US" w:eastAsia="zh-CN" w:bidi="ar"/>
              </w:rPr>
              <w:t>一、数据库内容：高校图书馆考研阅览室学习资源平台数据库集合了全国十余家考研培训机构，上百名一 线考研名师,数十家考研图书出版商等考研相关资源供应方为全国高校在校考生打造的 一站式校内考研学习基地。通过线上线下相结合的服务方式，汇聚包括 8000 余课时的 最新全年课程资源，200 多品种各个阶段考研电子版复习资料，10000 余份考研真题， 及多项考研全流程服务等，打通考研大学生初试复试各个环节，助力大学生考研无忧。二、数据库特色：1、5000+考研课程资源：学习平台包含最新最全的大学生考研公共课、考研专业课、考 研志愿规划、考研复试调剂及直播互动课程，覆盖考研英语、考研数学、考研政治、统 考专业课（计算机、心理学、教育学、历史学、中医和西医、农学）、非统考专业课（哲 学、文学、理学、工学、管理学、艺术学、经济学）、经管法专硕（管理类联考、经济 类联考、法律硕士）、考研志愿填报、复试准备、如何调剂、考研互动直播等一系列视 频资源。视频总资源量约 5000 课时。涵盖考研各个学科各个阶段的课程学习，同学可 按考研课程体系按部就班有计划学习，也可搜索薄弱学科进行有针对性的学习，无论是 刚刚准备考研的大学生，还是处于复习阶段冲刺的大学生，都可匹配合适考研课程，助 力考研。2、考研全流程服务：平台具备大学生考研所需的各项学习服务。考研名师在线实播答 疑、考研AI、考研复制调剂通关神器、学霸自习室、超级词霸、学术资源、高手经验、 规划通识等多项高效学习服务，助力大学生高效考研。3、互动直播课堂：考研直播课堂邀请考研领域专家教授及一线名师向考研同学讲授专 业课程和答疑技巧，通过直播空间与学生进行实时对话，帮助大学生答疑解惑，事半功 倍。三、平台功能：1、报考分析：基于底层 505 万条数据逻辑支持，5 秒给出专属考研分析报告；2、学霸自习室：平台创建云端自习室，考研大学生可根据自己需求进入自习室自行学习；3、直播答疑：平台以不同学科创建答疑直播间，名师在线授课，一对一答疑解惑，学习更有针对性；4、超级词霸：把英语考研词汇根据自己的学习进度自动生成学习计划，你的学习你做 主；5、学术资源：按院校和专业查询自己考研院校和专业的详细信息,提高学习效率；6、考研AI 智能答疑：智能AI解析考研奥秘，全天候朝夕相伴,实时答疑解感，传送考 研超凡高能,勇攀光辉殿堂；7、学长学姐：高分上岸学长学姐汇集地，直接沟通答疑效率更高效果最优；8、高手经验：考研学霸定期更新考研 新资讯，跟着高手学理论，学重点，学经验，考 上理想学校不再难；9、考研复试通关神器：提供考研初试精准估分、 复试高级技法、调剂完备资源服务， 赋你横扫千军神力；10、资料下载：平台可下载各高校考研真题 8000+份及各类考研资料 2000+份。五、技术支撑和维护：1、技术：系统采用B/S 结构，完全基于浏览器，简单易用，具有超强的稳定性； 采用数据库隔离技术，实现平台业务操作与数据库的无关性；遵循 SCORM、AICC 等国际 远程培训教育标准服务器；基于Web2.0 平台技术和设计思想，全方位体现平台的交互 性；采用视频分布式技术，彻底解决了用户流畅观看的问题。2、高速宽带：机房千兆光纤直连 CHINANET 骨干网；机房配备 1G 以上 DDOS 硬件防火墙； BGP 高可用冗余带宽；网络流量监控平台 7x24 小时实时监控。3、数据库安全保障：利用目前世界最先进的数据存储设备和存储网络交换机搭建成的 云存储，其各项性能指标均超过物理服务器硬盘数倍，小数据块读写速度更是超过 120 倍以上。专业技术人员的 24 小时管理和维护保障云存储系统运行安全，确保数据不会 丢失并使用了数据多副本备份、计算节点同构可互换等措施来保障高可靠性。</w:t>
            </w:r>
            <w:r>
              <w:rPr>
                <w:rFonts w:hint="eastAsia" w:ascii="宋体" w:hAnsi="宋体" w:eastAsia="宋体" w:cs="宋体"/>
                <w:sz w:val="21"/>
                <w:szCs w:val="21"/>
                <w:lang w:val="en-US" w:eastAsia="zh-CN"/>
              </w:rPr>
              <w:t>提供2025年使用权。</w:t>
            </w:r>
          </w:p>
        </w:tc>
        <w:tc>
          <w:tcPr>
            <w:tcW w:w="390" w:type="dxa"/>
            <w:vAlign w:val="center"/>
          </w:tcPr>
          <w:p w14:paraId="55F54B17">
            <w:pPr>
              <w:jc w:val="center"/>
              <w:rPr>
                <w:rFonts w:hint="default"/>
                <w:vertAlign w:val="baseline"/>
                <w:lang w:val="en-US" w:eastAsia="zh-CN"/>
              </w:rPr>
            </w:pPr>
            <w:r>
              <w:rPr>
                <w:rFonts w:hint="eastAsia"/>
                <w:vertAlign w:val="baseline"/>
                <w:lang w:val="en-US" w:eastAsia="zh-CN"/>
              </w:rPr>
              <w:t>1项</w:t>
            </w:r>
          </w:p>
        </w:tc>
        <w:tc>
          <w:tcPr>
            <w:tcW w:w="450" w:type="dxa"/>
            <w:vAlign w:val="center"/>
          </w:tcPr>
          <w:p w14:paraId="4A521B66">
            <w:pPr>
              <w:jc w:val="center"/>
              <w:rPr>
                <w:rFonts w:hint="default"/>
                <w:vertAlign w:val="baseline"/>
                <w:lang w:val="en-US" w:eastAsia="zh-CN"/>
              </w:rPr>
            </w:pPr>
          </w:p>
        </w:tc>
      </w:tr>
      <w:tr w14:paraId="0314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391" w:type="dxa"/>
            <w:vAlign w:val="center"/>
          </w:tcPr>
          <w:p w14:paraId="7D92A413">
            <w:pPr>
              <w:jc w:val="center"/>
              <w:rPr>
                <w:rFonts w:hint="default"/>
                <w:vertAlign w:val="baseline"/>
                <w:lang w:val="en-US" w:eastAsia="zh-CN"/>
              </w:rPr>
            </w:pPr>
            <w:r>
              <w:rPr>
                <w:rFonts w:hint="eastAsia"/>
                <w:vertAlign w:val="baseline"/>
                <w:lang w:val="en-US" w:eastAsia="zh-CN"/>
              </w:rPr>
              <w:t>13</w:t>
            </w:r>
          </w:p>
        </w:tc>
        <w:tc>
          <w:tcPr>
            <w:tcW w:w="423" w:type="dxa"/>
            <w:vAlign w:val="center"/>
          </w:tcPr>
          <w:p w14:paraId="2631846A">
            <w:pPr>
              <w:jc w:val="center"/>
              <w:rPr>
                <w:rFonts w:hint="default"/>
                <w:vertAlign w:val="baseline"/>
                <w:lang w:val="en-US" w:eastAsia="zh-CN"/>
              </w:rPr>
            </w:pPr>
            <w:r>
              <w:rPr>
                <w:rFonts w:hint="eastAsia" w:ascii="宋体" w:hAnsi="宋体" w:eastAsia="宋体" w:cs="宋体"/>
                <w:sz w:val="21"/>
                <w:szCs w:val="21"/>
                <w:lang w:val="en-US" w:eastAsia="zh-CN"/>
              </w:rPr>
              <w:t>高校信息素养教育数据库</w:t>
            </w:r>
          </w:p>
        </w:tc>
        <w:tc>
          <w:tcPr>
            <w:tcW w:w="6735" w:type="dxa"/>
            <w:vAlign w:val="top"/>
          </w:tcPr>
          <w:p w14:paraId="2C6A3D67">
            <w:pPr>
              <w:jc w:val="both"/>
              <w:rPr>
                <w:rFonts w:hint="default"/>
                <w:vertAlign w:val="baseline"/>
                <w:lang w:val="en-US" w:eastAsia="zh-CN"/>
              </w:rPr>
            </w:pPr>
            <w:r>
              <w:rPr>
                <w:rFonts w:hint="eastAsia" w:ascii="宋体" w:hAnsi="宋体" w:eastAsia="宋体" w:cs="宋体"/>
                <w:sz w:val="21"/>
                <w:szCs w:val="21"/>
                <w:vertAlign w:val="baseline"/>
                <w:lang w:val="en-US" w:eastAsia="zh-CN"/>
              </w:rPr>
              <w:t>1、本数据库课程涵盖了概念理论篇、检索技术篇、信息资源篇、检索系统篇、科研工具篇、学术写作篇、知识管理篇、学术资源篇、应用场景篇等九大模块的内容。2、本数据库有上千个微课程，其中特色专题收录了高校自建课程、大赛获奖微课、合作共建视频等，以碎片化的方式讲述信息素养的各个知识要点，支持电脑端、手机移动端使用。3、PPT课件栏目收录有信息素养专家老师的讲座和教学课件。4、讲座专栏中包含国内信息素养知名专家的公益直播课程，与中图学会合作定期直播。5、整个课程体系按照难易程度分成初级、中级、高级，让读者按照自身的能力进行学习，按首字母和课程内容进行分类导航。6、本数据库采用全案例教学，将知识点嵌入到具体的案例中，同时每个课程后面有相关的课后习题，试题总数超过1300道，年更新量不少于300道。 7、平台包括每日答题、专项答题、挑战答题；系统支持可按照指定的规律随机抽取试题组卷，题目类型包括单选题、多选题、判断题。8、后台支持上传图书馆自己制作的视频，建立属于自己的专栏，仅限内部使用；支持图书馆开展自己的知识竞赛活动，通过后台设置可创建活动。9、实训平台：包括了综合练习、专项练习，和专家赛题解读和经验分享等直播课程。10、个人中心可以查看我的答题、我的评论、我的课程、我的错题等功能等。11、课程每周更新，用户可通过学校IP进行在线访问。12、产品属于自主开发，不存在任何版权问题。</w:t>
            </w:r>
            <w:r>
              <w:rPr>
                <w:rFonts w:hint="eastAsia" w:ascii="宋体" w:hAnsi="宋体" w:eastAsia="宋体" w:cs="宋体"/>
                <w:sz w:val="21"/>
                <w:szCs w:val="21"/>
                <w:lang w:val="en-US" w:eastAsia="zh-CN"/>
              </w:rPr>
              <w:t>提供2025年使用权。</w:t>
            </w:r>
          </w:p>
        </w:tc>
        <w:tc>
          <w:tcPr>
            <w:tcW w:w="390" w:type="dxa"/>
            <w:vAlign w:val="center"/>
          </w:tcPr>
          <w:p w14:paraId="1E628313">
            <w:pPr>
              <w:jc w:val="center"/>
              <w:rPr>
                <w:rFonts w:hint="default"/>
                <w:vertAlign w:val="baseline"/>
                <w:lang w:val="en-US" w:eastAsia="zh-CN"/>
              </w:rPr>
            </w:pPr>
            <w:r>
              <w:rPr>
                <w:rFonts w:hint="eastAsia"/>
                <w:vertAlign w:val="baseline"/>
                <w:lang w:val="en-US" w:eastAsia="zh-CN"/>
              </w:rPr>
              <w:t>1项</w:t>
            </w:r>
          </w:p>
        </w:tc>
        <w:tc>
          <w:tcPr>
            <w:tcW w:w="450" w:type="dxa"/>
            <w:vAlign w:val="center"/>
          </w:tcPr>
          <w:p w14:paraId="25D62C5D">
            <w:pPr>
              <w:jc w:val="center"/>
              <w:rPr>
                <w:rFonts w:hint="default"/>
                <w:vertAlign w:val="baseline"/>
                <w:lang w:val="en-US" w:eastAsia="zh-CN"/>
              </w:rPr>
            </w:pPr>
          </w:p>
        </w:tc>
      </w:tr>
      <w:tr w14:paraId="4731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trPr>
        <w:tc>
          <w:tcPr>
            <w:tcW w:w="391" w:type="dxa"/>
            <w:vAlign w:val="center"/>
          </w:tcPr>
          <w:p w14:paraId="789FC39A">
            <w:pPr>
              <w:jc w:val="center"/>
              <w:rPr>
                <w:rFonts w:hint="default"/>
                <w:vertAlign w:val="baseline"/>
                <w:lang w:val="en-US" w:eastAsia="zh-CN"/>
              </w:rPr>
            </w:pPr>
            <w:r>
              <w:rPr>
                <w:rFonts w:hint="eastAsia"/>
                <w:vertAlign w:val="baseline"/>
                <w:lang w:val="en-US" w:eastAsia="zh-CN"/>
              </w:rPr>
              <w:t>14</w:t>
            </w:r>
          </w:p>
        </w:tc>
        <w:tc>
          <w:tcPr>
            <w:tcW w:w="423" w:type="dxa"/>
            <w:vAlign w:val="center"/>
          </w:tcPr>
          <w:p w14:paraId="2D39D580">
            <w:pPr>
              <w:jc w:val="center"/>
              <w:rPr>
                <w:rFonts w:hint="default"/>
                <w:vertAlign w:val="baseline"/>
                <w:lang w:val="en-US" w:eastAsia="zh-CN"/>
              </w:rPr>
            </w:pPr>
            <w:r>
              <w:rPr>
                <w:rFonts w:hint="eastAsia" w:ascii="宋体" w:hAnsi="宋体" w:eastAsia="宋体" w:cs="宋体"/>
                <w:sz w:val="21"/>
                <w:szCs w:val="21"/>
                <w:lang w:val="en-US" w:eastAsia="zh-CN"/>
              </w:rPr>
              <w:t>人工智能在线咨询平台</w:t>
            </w:r>
          </w:p>
        </w:tc>
        <w:tc>
          <w:tcPr>
            <w:tcW w:w="6735" w:type="dxa"/>
            <w:vAlign w:val="top"/>
          </w:tcPr>
          <w:p w14:paraId="65A7AA79">
            <w:pPr>
              <w:pStyle w:val="7"/>
              <w:keepNext w:val="0"/>
              <w:keepLines w:val="0"/>
              <w:pageBreakBefore w:val="0"/>
              <w:kinsoku/>
              <w:wordWrap/>
              <w:overflowPunct/>
              <w:topLinePunct w:val="0"/>
              <w:autoSpaceDE/>
              <w:autoSpaceDN/>
              <w:bidi w:val="0"/>
              <w:adjustRightInd/>
              <w:snapToGrid/>
              <w:spacing w:before="59" w:line="240" w:lineRule="auto"/>
              <w:ind w:right="111"/>
              <w:rPr>
                <w:rFonts w:hint="default"/>
                <w:vertAlign w:val="baseline"/>
                <w:lang w:val="en-US" w:eastAsia="zh-CN"/>
              </w:rPr>
            </w:pPr>
            <w:r>
              <w:rPr>
                <w:rFonts w:hint="eastAsia" w:ascii="宋体" w:hAnsi="宋体" w:eastAsia="宋体" w:cs="宋体"/>
                <w:kern w:val="2"/>
                <w:sz w:val="21"/>
                <w:szCs w:val="21"/>
                <w:vertAlign w:val="baseline"/>
                <w:lang w:val="en-US" w:eastAsia="zh-CN" w:bidi="ar-SA"/>
              </w:rPr>
              <w:t>1、网页端平台整合多个学术搜索引擎（百度学术、微软学术  、PubMed、arXiv、Aminer、Consensus等），为用户提供中外 文文献的一站式检索和发现，充分利用互联网资源。同时，平 台会自动匹配图书馆已购资源，提高资源利用率。2、网页端平台提供学术工具，包括学术问答、学术翻译、学 术润色、英语语法检查、工作总结代写等。3、AI工具集平台整合多种AI工具，涵盖教学、科研和学习等 多个领域，为用户提供全方位的帮助和支持。4、平台支持跨库检索，平均检索速度&lt;0.1秒，系统词表不少于8000万，且无重复。5、通过微信公众号和网页端的文献检索模块，可实现外文期 刊文献的精确查询。6、在平台上查询外文期刊文献时，平台会在10秒左右将可下 载全文的第三方链接发送给用户，平台不直接提供全文数据。7、微信公众号关注人数超过13万人。8、微信公众号上接入了PubMed、arXiv、Aminer、Consensus 等学术搜索引擎。9、做好安全加密工作，平台网站及数据库文件都应加密，确 保网络数据安全。10、平台上不得存储未经数据商授权的商业元数据和全文数据 , 无版权风险和隐患。11、微信公众号及网页端均采用IP地址控制</w:t>
            </w:r>
            <w:r>
              <w:rPr>
                <w:rFonts w:hint="eastAsia" w:cs="宋体"/>
                <w:kern w:val="2"/>
                <w:sz w:val="21"/>
                <w:szCs w:val="21"/>
                <w:vertAlign w:val="baseline"/>
                <w:lang w:val="en-US" w:eastAsia="zh-CN" w:bidi="ar-SA"/>
              </w:rPr>
              <w:t>，</w:t>
            </w:r>
            <w:r>
              <w:rPr>
                <w:rFonts w:hint="eastAsia" w:ascii="宋体" w:hAnsi="宋体" w:eastAsia="宋体" w:cs="宋体"/>
                <w:sz w:val="21"/>
                <w:szCs w:val="21"/>
                <w:lang w:val="en-US" w:eastAsia="zh-CN"/>
              </w:rPr>
              <w:t>提供2025年使用权。</w:t>
            </w:r>
          </w:p>
        </w:tc>
        <w:tc>
          <w:tcPr>
            <w:tcW w:w="390" w:type="dxa"/>
            <w:vAlign w:val="center"/>
          </w:tcPr>
          <w:p w14:paraId="412C756B">
            <w:pPr>
              <w:jc w:val="center"/>
              <w:rPr>
                <w:rFonts w:hint="default"/>
                <w:vertAlign w:val="baseline"/>
                <w:lang w:val="en-US" w:eastAsia="zh-CN"/>
              </w:rPr>
            </w:pPr>
            <w:r>
              <w:rPr>
                <w:rFonts w:hint="eastAsia"/>
                <w:vertAlign w:val="baseline"/>
                <w:lang w:val="en-US" w:eastAsia="zh-CN"/>
              </w:rPr>
              <w:t>1项</w:t>
            </w:r>
          </w:p>
        </w:tc>
        <w:tc>
          <w:tcPr>
            <w:tcW w:w="450" w:type="dxa"/>
          </w:tcPr>
          <w:p w14:paraId="586ACAC9">
            <w:pPr>
              <w:rPr>
                <w:rFonts w:hint="default"/>
                <w:vertAlign w:val="baseline"/>
                <w:lang w:val="en-US" w:eastAsia="zh-CN"/>
              </w:rPr>
            </w:pPr>
          </w:p>
        </w:tc>
      </w:tr>
      <w:tr w14:paraId="7879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1" w:type="dxa"/>
            <w:vAlign w:val="center"/>
          </w:tcPr>
          <w:p w14:paraId="38E21C04">
            <w:pPr>
              <w:jc w:val="center"/>
              <w:rPr>
                <w:rFonts w:hint="default"/>
                <w:vertAlign w:val="baseline"/>
                <w:lang w:val="en-US" w:eastAsia="zh-CN"/>
              </w:rPr>
            </w:pPr>
            <w:r>
              <w:rPr>
                <w:rFonts w:hint="eastAsia"/>
                <w:vertAlign w:val="baseline"/>
                <w:lang w:val="en-US" w:eastAsia="zh-CN"/>
              </w:rPr>
              <w:t>15</w:t>
            </w:r>
          </w:p>
        </w:tc>
        <w:tc>
          <w:tcPr>
            <w:tcW w:w="423" w:type="dxa"/>
            <w:vAlign w:val="center"/>
          </w:tcPr>
          <w:p w14:paraId="6ECA075C">
            <w:pPr>
              <w:jc w:val="center"/>
              <w:rPr>
                <w:rFonts w:hint="default"/>
                <w:vertAlign w:val="baseline"/>
                <w:lang w:val="en-US" w:eastAsia="zh-CN"/>
              </w:rPr>
            </w:pPr>
            <w:r>
              <w:rPr>
                <w:rFonts w:hint="default" w:ascii="宋体" w:hAnsi="宋体" w:eastAsia="宋体" w:cs="宋体"/>
                <w:sz w:val="21"/>
                <w:szCs w:val="21"/>
                <w:lang w:val="en-US" w:eastAsia="zh-CN"/>
              </w:rPr>
              <w:t>全球统计数据分析平台</w:t>
            </w:r>
          </w:p>
        </w:tc>
        <w:tc>
          <w:tcPr>
            <w:tcW w:w="6735" w:type="dxa"/>
            <w:vAlign w:val="top"/>
          </w:tcPr>
          <w:p w14:paraId="3DF952E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系统功能：1.集丰富的数值型数据资源和分析预测系统为一体的覆盖多学科、面向多领域的综合性数据服务平台，支持数据跨库检索、数据跨库分析，提供数据查询、数据处理、数据分析、可视化展现的一站式的数据服务。2.检索模块：跨库检索功能、库内检索功能、多维筛选功能（包括对数据频度、数据最新时间、区域、来源进行交叉筛选）3.数据模块：表格转置功能、筛选功能、高亮显示功能、条件样式功能、指标解释功能、下载功能（支持excel、csv、txt格式）；4.维度转换功能：实现地区、行业、指标、时间等不同维度间通过拖拽维度栏的方式变换维度栏的位置，以组成需要的报表格式。5.计算模块：合并计算功能（提供求和、均值、最大值、最小值、众数、中位数、方差、标准差、偏度、峰度、极差、平方和、上下四分位数等计算方法）、自定义函数功能、计算环比或同比增长率功能、80/20分析功能；6.可视化模块：折线图、条形图、柱形图、面积图、饼图、雷达图、散点图、自定义图表功能、数字地图功能。7.云分析模块：通过“添加序列”功能将不同数据库中的时间序列指标添加到云分析。云分析中提供数据预处理功能，包括对数计算、差分计算、缺省值处理功能；相关性分析功能，包括双变量相关性分析、偏相关分析；回归分析功能，包括线性回归、曲线估计建模方法；时间序列分析功能，包括ARIMA、H-P滤波、指数平滑建模方法；计量工具箱功能，包括单位根检验、格兰杰因果检验VAR模型、Johansen协整检验、Engle-Granger协整分析、ARCH效应检验、GARCH模型建模方法；用户数据上传功能。8.个人数据中心模块：支持IP登陆下个人数据中心账号的创建，可收藏数据、可绑定手机功能。9.需具有中文和英文两种语言，读者可以根据需求选择中文或者英文操作界面。</w:t>
            </w:r>
          </w:p>
          <w:p w14:paraId="32478326">
            <w:pPr>
              <w:keepNext w:val="0"/>
              <w:keepLines w:val="0"/>
              <w:pageBreakBefore w:val="0"/>
              <w:kinsoku/>
              <w:wordWrap/>
              <w:overflowPunct/>
              <w:topLinePunct w:val="0"/>
              <w:autoSpaceDE/>
              <w:autoSpaceDN/>
              <w:bidi w:val="0"/>
              <w:adjustRightInd/>
              <w:snapToGrid/>
              <w:spacing w:line="240" w:lineRule="auto"/>
              <w:rPr>
                <w:rFonts w:hint="eastAsia" w:eastAsiaTheme="minorEastAsia"/>
                <w:vertAlign w:val="baseline"/>
                <w:lang w:val="en-US" w:eastAsia="zh-CN"/>
              </w:rPr>
            </w:pPr>
            <w:r>
              <w:rPr>
                <w:rFonts w:hint="eastAsia" w:ascii="宋体" w:hAnsi="宋体" w:eastAsia="宋体" w:cs="宋体"/>
                <w:sz w:val="21"/>
                <w:szCs w:val="21"/>
                <w:lang w:val="en-US" w:eastAsia="zh-CN"/>
              </w:rPr>
              <w:t>10.数据库提供完整的用户使用统计功能和日志功能，为用户提供专有后台。二、</w:t>
            </w:r>
            <w:r>
              <w:rPr>
                <w:rFonts w:hint="eastAsia" w:ascii="宋体" w:hAnsi="宋体" w:eastAsia="宋体" w:cs="宋体"/>
                <w:sz w:val="21"/>
                <w:szCs w:val="21"/>
              </w:rPr>
              <w:t>数据资源</w:t>
            </w:r>
            <w:r>
              <w:rPr>
                <w:rFonts w:hint="eastAsia" w:ascii="宋体" w:hAnsi="宋体" w:eastAsia="宋体" w:cs="宋体"/>
                <w:sz w:val="21"/>
                <w:szCs w:val="21"/>
                <w:lang w:eastAsia="zh-CN"/>
              </w:rPr>
              <w:t>：</w:t>
            </w:r>
            <w:r>
              <w:rPr>
                <w:rFonts w:hint="eastAsia" w:ascii="宋体" w:hAnsi="宋体" w:eastAsia="宋体" w:cs="宋体"/>
                <w:sz w:val="21"/>
                <w:szCs w:val="21"/>
              </w:rPr>
              <w:t>1.数据库资源: 平台</w:t>
            </w:r>
            <w:r>
              <w:rPr>
                <w:rFonts w:hint="eastAsia" w:ascii="宋体" w:hAnsi="宋体" w:eastAsia="宋体" w:cs="宋体"/>
                <w:sz w:val="21"/>
                <w:szCs w:val="21"/>
                <w:lang w:val="en-US" w:eastAsia="zh-CN"/>
              </w:rPr>
              <w:t>整体由</w:t>
            </w:r>
            <w:r>
              <w:rPr>
                <w:rFonts w:hint="eastAsia" w:ascii="宋体" w:hAnsi="宋体" w:eastAsia="宋体" w:cs="宋体"/>
                <w:sz w:val="21"/>
                <w:szCs w:val="21"/>
              </w:rPr>
              <w:t>宏观数据（包含宏观经济、产业经济、贸易外经、金融市场、普查数据、全球经济）、市县数据（省级县域、市级 县域）、新概念数据和热门主题数据四大</w:t>
            </w:r>
            <w:r>
              <w:rPr>
                <w:rFonts w:hint="eastAsia" w:ascii="宋体" w:hAnsi="宋体" w:eastAsia="宋体" w:cs="宋体"/>
                <w:sz w:val="21"/>
                <w:szCs w:val="21"/>
                <w:lang w:val="en-US" w:eastAsia="zh-CN"/>
              </w:rPr>
              <w:t>资源</w:t>
            </w:r>
            <w:r>
              <w:rPr>
                <w:rFonts w:hint="eastAsia" w:ascii="宋体" w:hAnsi="宋体" w:eastAsia="宋体" w:cs="宋体"/>
                <w:sz w:val="21"/>
                <w:szCs w:val="21"/>
              </w:rPr>
              <w:t>核心版块</w:t>
            </w:r>
            <w:r>
              <w:rPr>
                <w:rFonts w:hint="eastAsia" w:ascii="宋体" w:hAnsi="宋体" w:eastAsia="宋体" w:cs="宋体"/>
                <w:sz w:val="21"/>
                <w:szCs w:val="21"/>
                <w:lang w:val="en-US" w:eastAsia="zh-CN"/>
              </w:rPr>
              <w:t>构成</w:t>
            </w:r>
            <w:r>
              <w:rPr>
                <w:rFonts w:hint="eastAsia" w:ascii="宋体" w:hAnsi="宋体" w:eastAsia="宋体" w:cs="宋体"/>
                <w:sz w:val="21"/>
                <w:szCs w:val="21"/>
                <w:lang w:eastAsia="zh-CN"/>
              </w:rPr>
              <w:t>。</w:t>
            </w:r>
            <w:r>
              <w:rPr>
                <w:rFonts w:hint="eastAsia" w:ascii="宋体" w:hAnsi="宋体" w:eastAsia="宋体" w:cs="宋体"/>
                <w:sz w:val="21"/>
                <w:szCs w:val="21"/>
              </w:rPr>
              <w:t>2. 收录范围：涵盖了教育、金融、贸易、能源、科技、汽车、卫生、农业、工业、财政、税收、旅游、第三产业、区域经济、房地产等方面涉及重点学科，覆盖重点行业的统计数据。其体系结构、数据质量、技术模式等均应达到国际先进水平，可为实证研究、学科与实验室建设提供强力支持。3.数据年更新总量不少于</w:t>
            </w:r>
            <w:r>
              <w:rPr>
                <w:rFonts w:hint="eastAsia" w:ascii="宋体" w:hAnsi="宋体" w:eastAsia="宋体" w:cs="宋体"/>
                <w:sz w:val="21"/>
                <w:szCs w:val="21"/>
                <w:lang w:val="en-US" w:eastAsia="zh-CN"/>
              </w:rPr>
              <w:t>10</w:t>
            </w:r>
            <w:r>
              <w:rPr>
                <w:rFonts w:hint="eastAsia" w:ascii="宋体" w:hAnsi="宋体" w:eastAsia="宋体" w:cs="宋体"/>
                <w:sz w:val="21"/>
                <w:szCs w:val="21"/>
              </w:rPr>
              <w:t>亿条。4.数据量：时间序列统计数据总量</w:t>
            </w:r>
            <w:r>
              <w:rPr>
                <w:rFonts w:hint="eastAsia" w:ascii="宋体" w:hAnsi="宋体" w:eastAsia="宋体" w:cs="宋体"/>
                <w:sz w:val="21"/>
                <w:szCs w:val="21"/>
                <w:lang w:val="en-US" w:eastAsia="zh-CN"/>
              </w:rPr>
              <w:t>不少于100</w:t>
            </w:r>
            <w:r>
              <w:rPr>
                <w:rFonts w:hint="eastAsia" w:ascii="宋体" w:hAnsi="宋体" w:eastAsia="宋体" w:cs="宋体"/>
                <w:sz w:val="21"/>
                <w:szCs w:val="21"/>
              </w:rPr>
              <w:t>亿条。5.覆盖地区：全方位涵盖全国31个省（自治区、直辖市）、280个地级城市、2000多个县三级，此外还囊括了全球200多个国家和地区的经济类数据。6.覆盖行业：覆盖了国民经济90个大类行业，400个中类行业，800个小类行业。7.指标数量：全国数据统计指标</w:t>
            </w:r>
            <w:r>
              <w:rPr>
                <w:rFonts w:hint="eastAsia" w:ascii="宋体" w:hAnsi="宋体" w:eastAsia="宋体" w:cs="宋体"/>
                <w:sz w:val="21"/>
                <w:szCs w:val="21"/>
                <w:lang w:val="en-US" w:eastAsia="zh-CN"/>
              </w:rPr>
              <w:t>不少于</w:t>
            </w:r>
            <w:r>
              <w:rPr>
                <w:rFonts w:hint="eastAsia" w:ascii="宋体" w:hAnsi="宋体" w:eastAsia="宋体" w:cs="宋体"/>
                <w:sz w:val="21"/>
                <w:szCs w:val="21"/>
              </w:rPr>
              <w:t>10万个，省级数据统计指标</w:t>
            </w:r>
            <w:r>
              <w:rPr>
                <w:rFonts w:hint="eastAsia" w:ascii="宋体" w:hAnsi="宋体" w:eastAsia="宋体" w:cs="宋体"/>
                <w:sz w:val="21"/>
                <w:szCs w:val="21"/>
                <w:lang w:val="en-US" w:eastAsia="zh-CN"/>
              </w:rPr>
              <w:t>不少于</w:t>
            </w:r>
            <w:r>
              <w:rPr>
                <w:rFonts w:hint="eastAsia" w:ascii="宋体" w:hAnsi="宋体" w:eastAsia="宋体" w:cs="宋体"/>
                <w:sz w:val="21"/>
                <w:szCs w:val="21"/>
              </w:rPr>
              <w:t>15000个、市级数据统计指标</w:t>
            </w:r>
            <w:r>
              <w:rPr>
                <w:rFonts w:hint="eastAsia" w:ascii="宋体" w:hAnsi="宋体" w:eastAsia="宋体" w:cs="宋体"/>
                <w:sz w:val="21"/>
                <w:szCs w:val="21"/>
                <w:lang w:val="en-US" w:eastAsia="zh-CN"/>
              </w:rPr>
              <w:t>不少于</w:t>
            </w:r>
            <w:r>
              <w:rPr>
                <w:rFonts w:hint="eastAsia" w:ascii="宋体" w:hAnsi="宋体" w:eastAsia="宋体" w:cs="宋体"/>
                <w:sz w:val="21"/>
                <w:szCs w:val="21"/>
              </w:rPr>
              <w:t>1800个，县级数据统计指标</w:t>
            </w:r>
            <w:r>
              <w:rPr>
                <w:rFonts w:hint="eastAsia" w:ascii="宋体" w:hAnsi="宋体" w:eastAsia="宋体" w:cs="宋体"/>
                <w:sz w:val="21"/>
                <w:szCs w:val="21"/>
                <w:lang w:val="en-US" w:eastAsia="zh-CN"/>
              </w:rPr>
              <w:t>不少于</w:t>
            </w:r>
            <w:r>
              <w:rPr>
                <w:rFonts w:hint="eastAsia" w:ascii="宋体" w:hAnsi="宋体" w:eastAsia="宋体" w:cs="宋体"/>
                <w:sz w:val="21"/>
                <w:szCs w:val="21"/>
              </w:rPr>
              <w:t>200个。8.数据库所包含的所有数据指标必须全部为连续时间序列数据。9.访问方式：采用远程访问。</w:t>
            </w:r>
            <w:r>
              <w:rPr>
                <w:rFonts w:hint="eastAsia" w:ascii="宋体" w:hAnsi="宋体" w:eastAsia="宋体" w:cs="宋体"/>
                <w:sz w:val="21"/>
                <w:szCs w:val="21"/>
                <w:lang w:val="en-US" w:eastAsia="zh-CN"/>
              </w:rPr>
              <w:t>提供2025年使用权。</w:t>
            </w:r>
          </w:p>
        </w:tc>
        <w:tc>
          <w:tcPr>
            <w:tcW w:w="390" w:type="dxa"/>
            <w:vAlign w:val="center"/>
          </w:tcPr>
          <w:p w14:paraId="75AE2A40">
            <w:pPr>
              <w:jc w:val="center"/>
              <w:rPr>
                <w:rFonts w:hint="default"/>
                <w:vertAlign w:val="baseline"/>
                <w:lang w:val="en-US" w:eastAsia="zh-CN"/>
              </w:rPr>
            </w:pPr>
            <w:r>
              <w:rPr>
                <w:rFonts w:hint="eastAsia"/>
                <w:vertAlign w:val="baseline"/>
                <w:lang w:val="en-US" w:eastAsia="zh-CN"/>
              </w:rPr>
              <w:t>1项</w:t>
            </w:r>
          </w:p>
        </w:tc>
        <w:tc>
          <w:tcPr>
            <w:tcW w:w="450" w:type="dxa"/>
          </w:tcPr>
          <w:p w14:paraId="3AB6D99C">
            <w:pPr>
              <w:rPr>
                <w:rFonts w:hint="default"/>
                <w:vertAlign w:val="baseline"/>
                <w:lang w:val="en-US" w:eastAsia="zh-CN"/>
              </w:rPr>
            </w:pPr>
          </w:p>
        </w:tc>
      </w:tr>
      <w:tr w14:paraId="1A50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391" w:type="dxa"/>
            <w:vAlign w:val="center"/>
          </w:tcPr>
          <w:p w14:paraId="4F36F1C2">
            <w:pPr>
              <w:jc w:val="center"/>
              <w:rPr>
                <w:rFonts w:hint="default"/>
                <w:vertAlign w:val="baseline"/>
                <w:lang w:val="en-US" w:eastAsia="zh-CN"/>
              </w:rPr>
            </w:pPr>
            <w:r>
              <w:rPr>
                <w:rFonts w:hint="eastAsia"/>
                <w:vertAlign w:val="baseline"/>
                <w:lang w:val="en-US" w:eastAsia="zh-CN"/>
              </w:rPr>
              <w:t>16</w:t>
            </w:r>
          </w:p>
        </w:tc>
        <w:tc>
          <w:tcPr>
            <w:tcW w:w="423" w:type="dxa"/>
            <w:vAlign w:val="center"/>
          </w:tcPr>
          <w:p w14:paraId="41333FBE">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中国学术期刊网络出版总库</w:t>
            </w:r>
          </w:p>
        </w:tc>
        <w:tc>
          <w:tcPr>
            <w:tcW w:w="6735" w:type="dxa"/>
            <w:vAlign w:val="top"/>
          </w:tcPr>
          <w:p w14:paraId="7053D24A">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 xml:space="preserve">1、收录范围：我国公开出版发行的学术期刊 (含英文版) 全文文献 ，包括基础与应用基础研究、工程技术、政策指导、行业指导、实用技术、职业指导类期刊。2、更新频率：每日更新。3、收录年限：1915年至今。 </w:t>
            </w:r>
          </w:p>
          <w:p w14:paraId="1CE2CB6D">
            <w:pPr>
              <w:keepNext w:val="0"/>
              <w:keepLines w:val="0"/>
              <w:pageBreakBefore w:val="0"/>
              <w:kinsoku/>
              <w:wordWrap/>
              <w:overflowPunct/>
              <w:topLinePunct w:val="0"/>
              <w:autoSpaceDE/>
              <w:autoSpaceDN/>
              <w:bidi w:val="0"/>
              <w:adjustRightInd/>
              <w:snapToGrid/>
              <w:spacing w:line="240" w:lineRule="auto"/>
              <w:rPr>
                <w:rFonts w:hint="eastAsia" w:eastAsia="宋体"/>
                <w:vertAlign w:val="baseline"/>
                <w:lang w:val="en-US" w:eastAsia="zh-CN"/>
              </w:rPr>
            </w:pPr>
            <w:r>
              <w:rPr>
                <w:rFonts w:hint="eastAsia" w:ascii="宋体" w:hAnsi="宋体" w:eastAsia="宋体" w:cs="宋体"/>
                <w:sz w:val="21"/>
                <w:szCs w:val="21"/>
              </w:rPr>
              <w:t>4、检索字段 ：主题、篇名、关键词、 摘要、作者、第一作者、全文、参考文献、基金、单位、刊名、年、期、中图分类号。5、支持节点文献的二级参考文献、参考文献、共引文献、同被引文献、引证文献、二级引证文献、相似文献、读者推荐文献、相关基金文献。6、收录期刊不少于8400余种，中文全文文献量超过6080万篇，收录外文文献不少于5900万篇）。</w:t>
            </w:r>
            <w:r>
              <w:rPr>
                <w:rFonts w:hint="eastAsia" w:ascii="宋体" w:hAnsi="宋体" w:eastAsia="宋体" w:cs="宋体"/>
                <w:sz w:val="21"/>
                <w:szCs w:val="21"/>
                <w:lang w:val="en-US" w:eastAsia="zh-CN"/>
              </w:rPr>
              <w:t>7</w:t>
            </w:r>
            <w:r>
              <w:rPr>
                <w:rFonts w:hint="eastAsia" w:ascii="宋体" w:hAnsi="宋体" w:eastAsia="宋体" w:cs="宋体"/>
                <w:sz w:val="21"/>
                <w:szCs w:val="21"/>
              </w:rPr>
              <w:t>、导航模块：提供学科导航、</w:t>
            </w:r>
            <w:r>
              <w:rPr>
                <w:rFonts w:hint="eastAsia" w:ascii="宋体" w:hAnsi="宋体" w:eastAsia="宋体" w:cs="宋体"/>
                <w:sz w:val="21"/>
                <w:szCs w:val="21"/>
                <w:lang w:eastAsia="zh-CN"/>
              </w:rPr>
              <w:t>卓越期刊导航、</w:t>
            </w:r>
            <w:r>
              <w:rPr>
                <w:rFonts w:hint="eastAsia" w:ascii="宋体" w:hAnsi="宋体" w:eastAsia="宋体" w:cs="宋体"/>
                <w:sz w:val="21"/>
                <w:szCs w:val="21"/>
                <w:lang w:val="en-US" w:eastAsia="zh-CN"/>
              </w:rPr>
              <w:t>社科基金资助期刊导航、</w:t>
            </w:r>
            <w:r>
              <w:rPr>
                <w:rFonts w:hint="eastAsia" w:ascii="宋体" w:hAnsi="宋体" w:eastAsia="宋体" w:cs="宋体"/>
                <w:sz w:val="21"/>
                <w:szCs w:val="21"/>
              </w:rPr>
              <w:t>数据库刊源导航、主办单位导航、出版周期导航、出版地导航、</w:t>
            </w:r>
            <w:r>
              <w:rPr>
                <w:rFonts w:hint="eastAsia" w:ascii="宋体" w:hAnsi="宋体" w:eastAsia="宋体" w:cs="宋体"/>
                <w:sz w:val="21"/>
                <w:szCs w:val="21"/>
                <w:lang w:eastAsia="zh-CN"/>
              </w:rPr>
              <w:t>北大</w:t>
            </w:r>
            <w:r>
              <w:rPr>
                <w:rFonts w:hint="eastAsia" w:ascii="宋体" w:hAnsi="宋体" w:eastAsia="宋体" w:cs="宋体"/>
                <w:sz w:val="21"/>
                <w:szCs w:val="21"/>
              </w:rPr>
              <w:t>核心期刊导航以及网络首发期刊导航、世纪期刊导航。</w:t>
            </w:r>
            <w:r>
              <w:rPr>
                <w:rFonts w:hint="eastAsia" w:ascii="宋体" w:hAnsi="宋体" w:eastAsia="宋体" w:cs="宋体"/>
                <w:sz w:val="21"/>
                <w:szCs w:val="21"/>
                <w:lang w:val="en-US" w:eastAsia="zh-CN"/>
              </w:rPr>
              <w:t>8、</w:t>
            </w:r>
            <w:r>
              <w:rPr>
                <w:rFonts w:hint="eastAsia" w:ascii="宋体" w:hAnsi="宋体" w:eastAsia="宋体" w:cs="宋体"/>
                <w:sz w:val="21"/>
                <w:szCs w:val="21"/>
              </w:rPr>
              <w:t>专辑：A,B,</w:t>
            </w:r>
            <w:r>
              <w:rPr>
                <w:rFonts w:hint="eastAsia" w:ascii="宋体" w:hAnsi="宋体" w:eastAsia="宋体" w:cs="宋体"/>
                <w:sz w:val="21"/>
                <w:szCs w:val="21"/>
                <w:lang w:val="en-US" w:eastAsia="zh-CN"/>
              </w:rPr>
              <w:t>C</w:t>
            </w:r>
            <w:r>
              <w:rPr>
                <w:rFonts w:hint="eastAsia" w:ascii="宋体" w:hAnsi="宋体" w:eastAsia="宋体" w:cs="宋体"/>
                <w:sz w:val="21"/>
                <w:szCs w:val="21"/>
              </w:rPr>
              <w:t>,D,E,F,G,H,I,J；产品年度：202</w:t>
            </w:r>
            <w:r>
              <w:rPr>
                <w:rFonts w:hint="eastAsia" w:ascii="宋体" w:hAnsi="宋体" w:eastAsia="宋体" w:cs="宋体"/>
                <w:sz w:val="21"/>
                <w:szCs w:val="21"/>
                <w:lang w:val="en-US" w:eastAsia="zh-CN"/>
              </w:rPr>
              <w:t>5</w:t>
            </w:r>
            <w:r>
              <w:rPr>
                <w:rFonts w:hint="eastAsia" w:ascii="宋体" w:hAnsi="宋体" w:eastAsia="宋体" w:cs="宋体"/>
                <w:sz w:val="21"/>
                <w:szCs w:val="21"/>
              </w:rPr>
              <w:t>年；托管模式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提供2025年使用权。</w:t>
            </w:r>
          </w:p>
        </w:tc>
        <w:tc>
          <w:tcPr>
            <w:tcW w:w="390" w:type="dxa"/>
            <w:vAlign w:val="center"/>
          </w:tcPr>
          <w:p w14:paraId="774177A0">
            <w:pPr>
              <w:jc w:val="center"/>
              <w:rPr>
                <w:rFonts w:hint="default"/>
                <w:vertAlign w:val="baseline"/>
                <w:lang w:val="en-US" w:eastAsia="zh-CN"/>
              </w:rPr>
            </w:pPr>
            <w:r>
              <w:rPr>
                <w:rFonts w:hint="eastAsia"/>
                <w:vertAlign w:val="baseline"/>
                <w:lang w:val="en-US" w:eastAsia="zh-CN"/>
              </w:rPr>
              <w:t>1项</w:t>
            </w:r>
          </w:p>
        </w:tc>
        <w:tc>
          <w:tcPr>
            <w:tcW w:w="450" w:type="dxa"/>
            <w:vAlign w:val="center"/>
          </w:tcPr>
          <w:p w14:paraId="2733E3FF">
            <w:pPr>
              <w:jc w:val="center"/>
              <w:rPr>
                <w:rFonts w:hint="default"/>
                <w:vertAlign w:val="baseline"/>
                <w:lang w:val="en-US" w:eastAsia="zh-CN"/>
              </w:rPr>
            </w:pPr>
          </w:p>
        </w:tc>
      </w:tr>
      <w:tr w14:paraId="0082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1" w:type="dxa"/>
            <w:vAlign w:val="center"/>
          </w:tcPr>
          <w:p w14:paraId="2A858B85">
            <w:pPr>
              <w:jc w:val="center"/>
              <w:rPr>
                <w:rFonts w:hint="default"/>
                <w:vertAlign w:val="baseline"/>
                <w:lang w:val="en-US" w:eastAsia="zh-CN"/>
              </w:rPr>
            </w:pPr>
            <w:r>
              <w:rPr>
                <w:rFonts w:hint="eastAsia"/>
                <w:vertAlign w:val="baseline"/>
                <w:lang w:val="en-US" w:eastAsia="zh-CN"/>
              </w:rPr>
              <w:t>17</w:t>
            </w:r>
          </w:p>
        </w:tc>
        <w:tc>
          <w:tcPr>
            <w:tcW w:w="423" w:type="dxa"/>
            <w:vAlign w:val="center"/>
          </w:tcPr>
          <w:p w14:paraId="0555DAEA">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考试学习资源数据库</w:t>
            </w:r>
          </w:p>
        </w:tc>
        <w:tc>
          <w:tcPr>
            <w:tcW w:w="6735" w:type="dxa"/>
            <w:vAlign w:val="top"/>
          </w:tcPr>
          <w:p w14:paraId="1232E0FA">
            <w:pPr>
              <w:keepNext w:val="0"/>
              <w:keepLines w:val="0"/>
              <w:pageBreakBefore w:val="0"/>
              <w:kinsoku/>
              <w:wordWrap/>
              <w:overflowPunct/>
              <w:topLinePunct w:val="0"/>
              <w:autoSpaceDE/>
              <w:autoSpaceDN/>
              <w:bidi w:val="0"/>
              <w:adjustRightInd/>
              <w:snapToGrid/>
              <w:spacing w:line="240" w:lineRule="auto"/>
              <w:rPr>
                <w:rFonts w:hint="eastAsia" w:eastAsia="宋体"/>
                <w:vertAlign w:val="baseline"/>
                <w:lang w:val="en-US" w:eastAsia="zh-CN"/>
              </w:rPr>
            </w:pPr>
            <w:r>
              <w:rPr>
                <w:rFonts w:hint="eastAsia" w:ascii="宋体" w:hAnsi="宋体" w:eastAsia="宋体" w:cs="宋体"/>
                <w:sz w:val="21"/>
                <w:szCs w:val="21"/>
              </w:rPr>
              <w:t>一、资源</w:t>
            </w:r>
            <w:r>
              <w:rPr>
                <w:rFonts w:hint="eastAsia" w:ascii="宋体" w:hAnsi="宋体" w:eastAsia="宋体" w:cs="宋体"/>
                <w:sz w:val="21"/>
                <w:szCs w:val="21"/>
                <w:lang w:val="en-US" w:eastAsia="zh-CN"/>
              </w:rPr>
              <w:t>要求：</w:t>
            </w:r>
            <w:r>
              <w:rPr>
                <w:rFonts w:hint="eastAsia" w:ascii="宋体" w:hAnsi="宋体" w:eastAsia="宋体" w:cs="宋体"/>
                <w:sz w:val="21"/>
                <w:szCs w:val="21"/>
              </w:rPr>
              <w:t>1.学科范围：应至少包含外语、计算机、司法、职业资格、财经、工程、医学、专升本、自考等12大专辑，收录科目细类不得低于</w:t>
            </w:r>
            <w:r>
              <w:rPr>
                <w:rFonts w:hint="eastAsia" w:ascii="宋体" w:hAnsi="宋体" w:eastAsia="宋体" w:cs="宋体"/>
                <w:sz w:val="21"/>
                <w:szCs w:val="21"/>
                <w:lang w:val="en-US" w:eastAsia="zh-CN"/>
              </w:rPr>
              <w:t>22</w:t>
            </w:r>
            <w:r>
              <w:rPr>
                <w:rFonts w:hint="eastAsia" w:ascii="宋体" w:hAnsi="宋体" w:eastAsia="宋体" w:cs="宋体"/>
                <w:sz w:val="21"/>
                <w:szCs w:val="21"/>
              </w:rPr>
              <w:t>00个，以满足学生的多样化学习需求。</w:t>
            </w:r>
            <w:r>
              <w:rPr>
                <w:rFonts w:hint="eastAsia" w:ascii="宋体" w:hAnsi="宋体" w:eastAsia="宋体" w:cs="宋体"/>
                <w:sz w:val="21"/>
                <w:szCs w:val="21"/>
                <w:lang w:val="en-US" w:eastAsia="zh-CN"/>
              </w:rPr>
              <w:t>2</w:t>
            </w:r>
            <w:r>
              <w:rPr>
                <w:rFonts w:hint="eastAsia" w:ascii="宋体" w:hAnsi="宋体" w:eastAsia="宋体" w:cs="宋体"/>
                <w:sz w:val="21"/>
                <w:szCs w:val="21"/>
              </w:rPr>
              <w:t>.试卷资源：数据库收录试卷总量不得低于</w:t>
            </w:r>
            <w:r>
              <w:rPr>
                <w:rFonts w:hint="eastAsia" w:ascii="宋体" w:hAnsi="宋体" w:eastAsia="宋体" w:cs="宋体"/>
                <w:sz w:val="21"/>
                <w:szCs w:val="21"/>
                <w:lang w:val="en-US" w:eastAsia="zh-CN"/>
              </w:rPr>
              <w:t>34</w:t>
            </w:r>
            <w:r>
              <w:rPr>
                <w:rFonts w:hint="eastAsia" w:ascii="宋体" w:hAnsi="宋体" w:eastAsia="宋体" w:cs="宋体"/>
                <w:sz w:val="21"/>
                <w:szCs w:val="21"/>
              </w:rPr>
              <w:t>万套。二、平台功能方面</w:t>
            </w:r>
            <w:r>
              <w:rPr>
                <w:rFonts w:hint="eastAsia" w:ascii="宋体" w:hAnsi="宋体" w:eastAsia="宋体" w:cs="宋体"/>
                <w:sz w:val="21"/>
                <w:szCs w:val="21"/>
                <w:lang w:eastAsia="zh-CN"/>
              </w:rPr>
              <w:t>：</w:t>
            </w:r>
            <w:r>
              <w:rPr>
                <w:rFonts w:hint="eastAsia" w:ascii="宋体" w:hAnsi="宋体" w:eastAsia="宋体" w:cs="宋体"/>
                <w:sz w:val="21"/>
                <w:szCs w:val="21"/>
              </w:rPr>
              <w:t>1.数据库应提供学习进展功能，统计追踪学生的学习行为，对比分析学生的学习偏好与学习效果，为不同复习阶段的学生智能推荐配套习题、相关专业课知识点，通过精确计算与数据分析，帮助学生查缺补漏、举一反三，形成系统化的知识体系。2．数据库应提供错题记录和错题组卷功能，可以自动记录学生答错的试题，便于学生对自己做错的试题进行分析总结和强化记忆；此外还应支持学生将答错过的试题重新组卷练习，以便于学生巩固学习成果。</w:t>
            </w:r>
            <w:r>
              <w:rPr>
                <w:rFonts w:hint="eastAsia" w:ascii="宋体" w:hAnsi="宋体" w:eastAsia="宋体" w:cs="宋体"/>
                <w:sz w:val="21"/>
                <w:szCs w:val="21"/>
                <w:lang w:val="en-US" w:eastAsia="zh-CN"/>
              </w:rPr>
              <w:t>3</w:t>
            </w:r>
            <w:r>
              <w:rPr>
                <w:rFonts w:hint="eastAsia" w:ascii="宋体" w:hAnsi="宋体" w:eastAsia="宋体" w:cs="宋体"/>
                <w:sz w:val="21"/>
                <w:szCs w:val="21"/>
              </w:rPr>
              <w:t>.应提供快速检索、标准检索、高级检索、学科导航检索等检索方式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提供2025年使用权。</w:t>
            </w:r>
          </w:p>
        </w:tc>
        <w:tc>
          <w:tcPr>
            <w:tcW w:w="390" w:type="dxa"/>
            <w:vAlign w:val="center"/>
          </w:tcPr>
          <w:p w14:paraId="3C784912">
            <w:pPr>
              <w:jc w:val="center"/>
              <w:rPr>
                <w:rFonts w:hint="default"/>
                <w:vertAlign w:val="baseline"/>
                <w:lang w:val="en-US" w:eastAsia="zh-CN"/>
              </w:rPr>
            </w:pPr>
            <w:r>
              <w:rPr>
                <w:rFonts w:hint="eastAsia"/>
                <w:vertAlign w:val="baseline"/>
                <w:lang w:val="en-US" w:eastAsia="zh-CN"/>
              </w:rPr>
              <w:t>1项</w:t>
            </w:r>
          </w:p>
        </w:tc>
        <w:tc>
          <w:tcPr>
            <w:tcW w:w="450" w:type="dxa"/>
            <w:vAlign w:val="center"/>
          </w:tcPr>
          <w:p w14:paraId="4DDC5E69">
            <w:pPr>
              <w:jc w:val="center"/>
              <w:rPr>
                <w:rFonts w:hint="default"/>
                <w:vertAlign w:val="baseline"/>
                <w:lang w:val="en-US" w:eastAsia="zh-CN"/>
              </w:rPr>
            </w:pPr>
          </w:p>
        </w:tc>
      </w:tr>
    </w:tbl>
    <w:p w14:paraId="69DCFAD8">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C15CE"/>
    <w:multiLevelType w:val="singleLevel"/>
    <w:tmpl w:val="B9CC15CE"/>
    <w:lvl w:ilvl="0" w:tentative="0">
      <w:start w:val="1"/>
      <w:numFmt w:val="chineseCounting"/>
      <w:suff w:val="nothing"/>
      <w:lvlText w:val="%1、"/>
      <w:lvlJc w:val="left"/>
      <w:rPr>
        <w:rFonts w:hint="eastAsia"/>
      </w:rPr>
    </w:lvl>
  </w:abstractNum>
  <w:abstractNum w:abstractNumId="1">
    <w:nsid w:val="00197986"/>
    <w:multiLevelType w:val="singleLevel"/>
    <w:tmpl w:val="00197986"/>
    <w:lvl w:ilvl="0" w:tentative="0">
      <w:start w:val="1"/>
      <w:numFmt w:val="decimal"/>
      <w:suff w:val="nothing"/>
      <w:lvlText w:val="%1、"/>
      <w:lvlJc w:val="left"/>
    </w:lvl>
  </w:abstractNum>
  <w:abstractNum w:abstractNumId="2">
    <w:nsid w:val="33B16B51"/>
    <w:multiLevelType w:val="singleLevel"/>
    <w:tmpl w:val="33B16B51"/>
    <w:lvl w:ilvl="0" w:tentative="0">
      <w:start w:val="1"/>
      <w:numFmt w:val="chineseCounting"/>
      <w:suff w:val="nothing"/>
      <w:lvlText w:val="%1、"/>
      <w:lvlJc w:val="left"/>
      <w:rPr>
        <w:rFonts w:hint="eastAsia"/>
      </w:rPr>
    </w:lvl>
  </w:abstractNum>
  <w:abstractNum w:abstractNumId="3">
    <w:nsid w:val="5B6A7055"/>
    <w:multiLevelType w:val="singleLevel"/>
    <w:tmpl w:val="5B6A7055"/>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00000000"/>
    <w:rsid w:val="029D163E"/>
    <w:rsid w:val="052851DF"/>
    <w:rsid w:val="1B8F5B60"/>
    <w:rsid w:val="1C424981"/>
    <w:rsid w:val="1F300BA9"/>
    <w:rsid w:val="20F52909"/>
    <w:rsid w:val="25D329B9"/>
    <w:rsid w:val="28646512"/>
    <w:rsid w:val="2953749E"/>
    <w:rsid w:val="29A24CB1"/>
    <w:rsid w:val="2A3A00AE"/>
    <w:rsid w:val="2AF35FC5"/>
    <w:rsid w:val="2D102879"/>
    <w:rsid w:val="38232174"/>
    <w:rsid w:val="43F44FDF"/>
    <w:rsid w:val="45FB77CB"/>
    <w:rsid w:val="4BB62FE7"/>
    <w:rsid w:val="4CD314A1"/>
    <w:rsid w:val="4D720CBA"/>
    <w:rsid w:val="4F2D7F9D"/>
    <w:rsid w:val="52A5743C"/>
    <w:rsid w:val="530C1269"/>
    <w:rsid w:val="5361025B"/>
    <w:rsid w:val="53E36D01"/>
    <w:rsid w:val="561B7A15"/>
    <w:rsid w:val="56B55774"/>
    <w:rsid w:val="59CB55FE"/>
    <w:rsid w:val="5D433711"/>
    <w:rsid w:val="5EA65556"/>
    <w:rsid w:val="5FAA2693"/>
    <w:rsid w:val="607C7302"/>
    <w:rsid w:val="6F9162AB"/>
    <w:rsid w:val="71543D4E"/>
    <w:rsid w:val="718D727F"/>
    <w:rsid w:val="71A5116B"/>
    <w:rsid w:val="777032C5"/>
    <w:rsid w:val="79144124"/>
    <w:rsid w:val="79EF706B"/>
    <w:rsid w:val="7A96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tabs>
        <w:tab w:val="left" w:pos="864"/>
      </w:tabs>
      <w:snapToGrid w:val="0"/>
      <w:spacing w:before="120" w:after="120" w:line="360" w:lineRule="auto"/>
      <w:ind w:left="864" w:hanging="864"/>
      <w:outlineLvl w:val="3"/>
    </w:pPr>
    <w:rPr>
      <w:rFonts w:ascii="Arial" w:hAnsi="Arial" w:eastAsia="黑体"/>
      <w:b/>
      <w:sz w:val="28"/>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9019</Words>
  <Characters>9751</Characters>
  <Lines>0</Lines>
  <Paragraphs>0</Paragraphs>
  <TotalTime>0</TotalTime>
  <ScaleCrop>false</ScaleCrop>
  <LinksUpToDate>false</LinksUpToDate>
  <CharactersWithSpaces>9811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2024-10-28T00:55:00Z</dcterms:created>
  <dc:creator>Administrator</dc:creator>
  <cp:lastModifiedBy>光影流转</cp:lastModifiedBy>
  <dcterms:modified xsi:type="dcterms:W3CDTF">2024-10-31T03:20:52Z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57C22EED44A1446691822898E2FC5E45_13</vt:lpwstr>
  </property>
</Properties>
</file>