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内蒙古自治区2024年度重点中小型水库下游影响区洪水风险图编制项目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内蒙古自治区水旱灾害防御技术中心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内蒙古招标有限责任公司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NMGZCS-G-F-250009</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内蒙古招标有限责任公司</w:t>
      </w:r>
      <w:r>
        <w:rPr>
          <w:rFonts w:ascii="仿宋_GB2312" w:hAnsi="仿宋_GB2312" w:cs="仿宋_GB2312" w:eastAsia="仿宋_GB2312"/>
        </w:rPr>
        <w:t xml:space="preserve"> 受 </w:t>
      </w:r>
      <w:r>
        <w:rPr>
          <w:rFonts w:ascii="仿宋_GB2312" w:hAnsi="仿宋_GB2312" w:cs="仿宋_GB2312" w:eastAsia="仿宋_GB2312"/>
        </w:rPr>
        <w:t>内蒙古自治区水旱灾害防御技术中心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内蒙古自治区2024年度重点中小型水库下游影响区洪水风险图编制项目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内蒙古自治区2024年度重点中小型水库下游影响区洪水风险图编制项目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NMGZCS-G-F-250009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内政采计划[2025]00270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内蒙古自治区2024年度重点中小型水库下游影响区洪水风险图编制项目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8,200,000.00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内蒙古招标有限责任公司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呼和浩特市赛罕区腾飞路1号众生大厦17层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汪乐兵、刘书伟、冀果果、吴谨旭</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0471-3255129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内蒙古自治区水旱灾害防御技术中心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内蒙古自治区水旱灾害防御技术中心</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潘绍博</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0471-5259725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代理服务费收费标准：本项目采购代理服务费向成交供应商收取，收费标准为中标金额的1%</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内蒙古自治区水旱灾害防御技术中心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内蒙古招标有限责任公司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 注：若联合体投标则牵头单位和联合体成员均需提供对应资料。</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2023年或2024年经审计的财务审计报告或近6个月有效的开户银行出具的银行资信证明文件。 注：若联合体投标则牵头单位和联合体成员均需提供对应资料。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提供递交响应文件截止之日前一年内（至少一个月）的良好缴纳税收的相关凭据。（以税务机关提供的纳税凭据或银行入账单为准）和提供递交响应文件截止之日前一年内（至少一个月）缴纳社会保险的凭证。（以专用收据或社会保险缴纳清单为准）。 注：若联合体投标则牵头单位和联合体成员均需提供对应资料。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审查供应商出具的“具有履行合同所必须的设备和专业技术能力”声明函。 注：若联合体投标则牵头单位和联合体成员均需提供对应资料。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审查供应商出具的“参加采购活动前3年内，在经营活动中没有重大违法记录”声明函。 注：若联合体投标则牵头单位提供即可。</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到提交响应文件的截止时间，供应商未被列入失信被执行人、重大税收违法案件当事人名单、政府采购严重违法失信行为记录名单。 注：若联合体投标则牵头单位和联合体成员均需提供对应资料。</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结合内蒙古实际情况，本次重点中小水库下游区洪水风险图编制洪水分析方案选取设计洪水、校核洪水及超坝顶高程三个量级。同时按应急泄洪及溃坝洪水两种情况考虑。每座水库需分别制作以上各工况的基本洪水风险图，同时分别编制避洪转移图，当阳桥水库、泉玉林水库、海力图水库、下半拉沟水库、沙那水库、上湾子I级水库、泡子埃水库、小南京洼水库、台力虎水库、西车利水库、吉布图水库、岗岗水库、石碑水库、小河西水库、兴安水库、古迹水库、永丰水库、阿拉坦水库共计18座重点水库需要编制动态洪水风险图。</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合同签订后4个月内完成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呼和浩特市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1、合同签订后支付，达到付款条件起10日，支付合同总金额的30.00%</w:t>
            </w:r>
          </w:p>
          <w:p>
            <w:pPr>
              <w:pStyle w:val="null5"/>
              <w:jc w:val="left"/>
            </w:pPr>
            <w:r>
              <w:rPr>
                <w:rFonts w:ascii="仿宋_GB2312" w:hAnsi="仿宋_GB2312" w:cs="仿宋_GB2312" w:eastAsia="仿宋_GB2312"/>
              </w:rPr>
              <w:t>2、技术大纲通过审核后支付，达到付款条件起10日，支付合同总金额的20.00%</w:t>
            </w:r>
          </w:p>
          <w:p>
            <w:pPr>
              <w:pStyle w:val="null5"/>
              <w:jc w:val="left"/>
            </w:pPr>
            <w:r>
              <w:rPr>
                <w:rFonts w:ascii="仿宋_GB2312" w:hAnsi="仿宋_GB2312" w:cs="仿宋_GB2312" w:eastAsia="仿宋_GB2312"/>
              </w:rPr>
              <w:t>3、完成编制内容并提交初步成果后支付，达到付款条件起10日，支付合同总金额的30.00%</w:t>
            </w:r>
          </w:p>
          <w:p>
            <w:pPr>
              <w:pStyle w:val="null5"/>
              <w:jc w:val="left"/>
            </w:pPr>
            <w:r>
              <w:rPr>
                <w:rFonts w:ascii="仿宋_GB2312" w:hAnsi="仿宋_GB2312" w:cs="仿宋_GB2312" w:eastAsia="仿宋_GB2312"/>
              </w:rPr>
              <w:t>4、项目成果通过技术审查后并通过合同验收、主管部门审查（如需）后支付，达到付款条件起10日，支付合同总金额的20.00%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标的名称：内蒙古自治区2024年度重点中小型水库下游影响区洪水风险图编制项目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详见附件技术要求</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r>
        <w:tc>
          <w:tcPr>
            <w:tcW w:type="dxa" w:w="831"/>
          </w:tcPr>
          <w:p>
            <w:pPr>
              <w:pStyle w:val="null5"/>
              <w:jc w:val="left"/>
            </w:pPr>
            <w:r>
              <w:rPr>
                <w:rFonts w:ascii="仿宋_GB2312" w:hAnsi="仿宋_GB2312" w:cs="仿宋_GB2312" w:eastAsia="仿宋_GB2312"/>
              </w:rPr>
              <w:t>2</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联合协议或者分包</w:t>
            </w:r>
          </w:p>
        </w:tc>
        <w:tc>
          <w:tcPr>
            <w:tcW w:type="dxa" w:w="831"/>
          </w:tcPr>
          <w:p>
            <w:pPr>
              <w:pStyle w:val="null5"/>
              <w:jc w:val="right"/>
            </w:pPr>
            <w:r>
              <w:rPr>
                <w:rFonts w:ascii="仿宋_GB2312" w:hAnsi="仿宋_GB2312" w:cs="仿宋_GB2312" w:eastAsia="仿宋_GB2312"/>
              </w:rPr>
              <w:t>6.00%</w:t>
            </w:r>
          </w:p>
        </w:tc>
        <w:tc>
          <w:tcPr>
            <w:tcW w:type="dxa" w:w="1661"/>
          </w:tcPr>
          <w:p>
            <w:pPr>
              <w:pStyle w:val="null5"/>
              <w:jc w:val="left"/>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投标文件的签署、盖章、涂改、删除、插字、公章使用等符合招标文件要求；（如联合体投标以牵头单位签字盖章为准）</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针对本项目提供详细的实施方案。包括①外业测量及基础资料收集整理方案②洪水分析方案③洪水影响分析与损失评估方案④避洪转移分析方案⑤水风险图绘制方案⑥洪水风险实时分析方案，方案内容完全满足以上要求并且详细、切实可行的得18分(每小项分值为3分，缺项扣3分)，每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人员配置及管理</w:t>
            </w:r>
          </w:p>
        </w:tc>
        <w:tc>
          <w:tcPr>
            <w:tcW w:type="dxa" w:w="3115"/>
          </w:tcPr>
          <w:p>
            <w:pPr>
              <w:pStyle w:val="null5"/>
              <w:jc w:val="left"/>
            </w:pPr>
            <w:r>
              <w:rPr>
                <w:rFonts w:ascii="仿宋_GB2312" w:hAnsi="仿宋_GB2312" w:cs="仿宋_GB2312" w:eastAsia="仿宋_GB2312"/>
              </w:rPr>
              <w:t>投标文件中需提供人员配备计划，包含①人员配备计划满足需求，配备人员合理;②针对本服务要求配置人员分工明确;③针对本服务要求人员配置及管理④人员管理制度、考核制度完善。内容完全满足以上要求并且详细、切实可行的得12分(每小项分值为3分，缺项扣3分)，每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w:t>
            </w:r>
          </w:p>
        </w:tc>
        <w:tc>
          <w:tcPr>
            <w:tcW w:type="dxa" w:w="3115"/>
          </w:tcPr>
          <w:p>
            <w:pPr>
              <w:pStyle w:val="null5"/>
              <w:jc w:val="left"/>
            </w:pPr>
            <w:r>
              <w:rPr>
                <w:rFonts w:ascii="仿宋_GB2312" w:hAnsi="仿宋_GB2312" w:cs="仿宋_GB2312" w:eastAsia="仿宋_GB2312"/>
              </w:rPr>
              <w:t>根据投标人针对本项目制定的工作进度方案及便利条件，详细包括①进度计划安排②保障进度措施③对项目工序的划分④保障重大工作内容完成时间节点的措施进行打分，内容完全满足以上要求并且详细、切实可行的得12分(每小项分值为3分，缺项扣3分)，每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质量保证体系措施</w:t>
            </w:r>
          </w:p>
        </w:tc>
        <w:tc>
          <w:tcPr>
            <w:tcW w:type="dxa" w:w="3115"/>
          </w:tcPr>
          <w:p>
            <w:pPr>
              <w:pStyle w:val="null5"/>
              <w:jc w:val="left"/>
            </w:pPr>
            <w:r>
              <w:rPr>
                <w:rFonts w:ascii="仿宋_GB2312" w:hAnsi="仿宋_GB2312" w:cs="仿宋_GB2312" w:eastAsia="仿宋_GB2312"/>
              </w:rPr>
              <w:t>根据采购文件要求及投标文件的相关内容，包括①对质量管理组织机构是否健全②质量保证措施是否得当③质量管理关键点分析及应对是否合理④能够体现过程控制和成果控制，最终成果满足国家及地方要求等内容。措施完整、科学、切实可行的得16分(每小项分值为4分，缺项扣4分)，小项如出现凭空编造、内容前后不一致、逻辑混乱、不符合采购需求、内容缺失、内容不合理的情况，每出现一种情况扣1分，每小项最多扣4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应急保障方案</w:t>
            </w:r>
          </w:p>
        </w:tc>
        <w:tc>
          <w:tcPr>
            <w:tcW w:type="dxa" w:w="3115"/>
          </w:tcPr>
          <w:p>
            <w:pPr>
              <w:pStyle w:val="null5"/>
              <w:jc w:val="left"/>
            </w:pPr>
            <w:r>
              <w:rPr>
                <w:rFonts w:ascii="仿宋_GB2312" w:hAnsi="仿宋_GB2312" w:cs="仿宋_GB2312" w:eastAsia="仿宋_GB2312"/>
              </w:rPr>
              <w:t>根据投标人针对本项目提供的应急处理方案进行评审，包括①健全项目急处理机制②明确应急响应时间③明确人员职责完善项目进行中各类突发情况预案，内容完全满足以上要求并且科学合理完善的得6分(每小项分值为2分，缺项扣2分)，每小项如出现凭空编造、内容前后不一致、逻转混乱、不符合采购需求、内容缺失、内容不合理的情况，每出现一种情况扣1分，每小项最多扣2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保密管理措施</w:t>
            </w:r>
          </w:p>
        </w:tc>
        <w:tc>
          <w:tcPr>
            <w:tcW w:type="dxa" w:w="3115"/>
          </w:tcPr>
          <w:p>
            <w:pPr>
              <w:pStyle w:val="null5"/>
              <w:jc w:val="left"/>
            </w:pPr>
            <w:r>
              <w:rPr>
                <w:rFonts w:ascii="仿宋_GB2312" w:hAnsi="仿宋_GB2312" w:cs="仿宋_GB2312" w:eastAsia="仿宋_GB2312"/>
              </w:rPr>
              <w:t>投标人需要提供完善的保密管理方案，制定完善的保密措施，包括①保密原则及保密内容② 保密实施细则③ 保密岗位责任及保密培训，整体措施科学合理、切实可行的得6分(每小项分值为2分，缺项扣2分)，每小项如出现凭空编造、内容前后不一致、逻辑混乱、不符合采购需求、内容缺失内容不合理的情况，每出现一种情况扣1分，每小项最多扣2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投标人提供2021年1月1日至递交投标文件截止日，具有类似服务类业绩，有一个得2分，满分10分。注:1.需提供中标(成交)通知书或合同扫描件。2.以中标(成交)通知书发放日期或合同签订日期为准。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项目负责人具有水利类专业高级技术职称得2分，具有水利类专业中级技术职称得1分，未提供不得分，本项最高2分。注:需提供职称证书和证明该负责人在该单位工作的相关证明并加盖公章（劳动合同扫描件或社会保险缴纳证明）。</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技术负责人</w:t>
            </w:r>
          </w:p>
        </w:tc>
        <w:tc>
          <w:tcPr>
            <w:tcW w:type="dxa" w:w="3115"/>
          </w:tcPr>
          <w:p>
            <w:pPr>
              <w:pStyle w:val="null5"/>
              <w:jc w:val="left"/>
            </w:pPr>
            <w:r>
              <w:rPr>
                <w:rFonts w:ascii="仿宋_GB2312" w:hAnsi="仿宋_GB2312" w:cs="仿宋_GB2312" w:eastAsia="仿宋_GB2312"/>
              </w:rPr>
              <w:t>技术负责人具有水利类专业高级技术职称得2分，具有水利类专业中级技术职称得1分，未提供不得分，本项最高2分。 注:需提供职称证书和证明该负责人在该单位工作的相关证明并加盖公章（劳动合同扫描件或社会保险缴纳证明）。</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团队成员</w:t>
            </w:r>
          </w:p>
        </w:tc>
        <w:tc>
          <w:tcPr>
            <w:tcW w:type="dxa" w:w="3115"/>
          </w:tcPr>
          <w:p>
            <w:pPr>
              <w:pStyle w:val="null5"/>
              <w:jc w:val="left"/>
            </w:pPr>
            <w:r>
              <w:rPr>
                <w:rFonts w:ascii="仿宋_GB2312" w:hAnsi="仿宋_GB2312" w:cs="仿宋_GB2312" w:eastAsia="仿宋_GB2312"/>
              </w:rPr>
              <w:t>除项目负责人、技术负责人外的其他成员具有水利类专业高级技术职称得1分，具有水利类专业中级技术职称得0.5分，未提供不得分，本项最高6分。注:需提供职称证书和证明该团队成员在该单位工作的相关证明并加盖公章（劳动合同扫描件或社会保险缴纳证明）。</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r>
        <w:tc>
          <w:tcPr>
            <w:tcW w:type="dxa" w:w="831"/>
          </w:tcPr>
          <w:p>
            <w:pPr>
              <w:pStyle w:val="null5"/>
              <w:jc w:val="left"/>
            </w:pPr>
            <w:r>
              <w:rPr>
                <w:rFonts w:ascii="仿宋_GB2312" w:hAnsi="仿宋_GB2312" w:cs="仿宋_GB2312" w:eastAsia="仿宋_GB2312"/>
              </w:rPr>
              <w:t>2</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联合协议或者分包</w:t>
            </w:r>
          </w:p>
        </w:tc>
        <w:tc>
          <w:tcPr>
            <w:tcW w:type="dxa" w:w="831"/>
          </w:tcPr>
          <w:p>
            <w:pPr>
              <w:pStyle w:val="null5"/>
              <w:jc w:val="right"/>
            </w:pPr>
            <w:r>
              <w:rPr>
                <w:rFonts w:ascii="仿宋_GB2312" w:hAnsi="仿宋_GB2312" w:cs="仿宋_GB2312" w:eastAsia="仿宋_GB2312"/>
              </w:rPr>
              <w:t>6.00%</w:t>
            </w:r>
          </w:p>
        </w:tc>
        <w:tc>
          <w:tcPr>
            <w:tcW w:type="dxa" w:w="2492"/>
          </w:tcPr>
          <w:p>
            <w:pPr>
              <w:pStyle w:val="null5"/>
              <w:jc w:val="left"/>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