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36EF6" w14:textId="77777777" w:rsidR="00AF00F8" w:rsidRPr="00AF00F8" w:rsidRDefault="00AF00F8" w:rsidP="00AF00F8">
      <w:pPr>
        <w:kinsoku/>
        <w:autoSpaceDE/>
        <w:autoSpaceDN/>
        <w:adjustRightInd/>
        <w:snapToGrid/>
        <w:textAlignment w:val="auto"/>
        <w:rPr>
          <w:rFonts w:ascii="宋体" w:eastAsia="宋体" w:hAnsi="宋体" w:cs="宋体" w:hint="eastAsia"/>
          <w:color w:val="auto"/>
          <w:spacing w:val="2"/>
          <w:sz w:val="19"/>
          <w:szCs w:val="19"/>
        </w:rPr>
      </w:pPr>
      <w:r w:rsidRPr="00AF00F8">
        <w:rPr>
          <w:rFonts w:ascii="宋体" w:eastAsia="宋体" w:hAnsi="宋体" w:cs="宋体" w:hint="eastAsia"/>
          <w:color w:val="auto"/>
          <w:spacing w:val="2"/>
          <w:sz w:val="19"/>
          <w:szCs w:val="19"/>
        </w:rPr>
        <w:t xml:space="preserve">采购包1： </w:t>
      </w:r>
      <w:r w:rsidRPr="00AF00F8">
        <w:rPr>
          <w:rFonts w:ascii="宋体" w:eastAsia="宋体" w:hAnsi="宋体" w:cs="宋体"/>
          <w:color w:val="auto"/>
          <w:spacing w:val="2"/>
          <w:sz w:val="19"/>
          <w:szCs w:val="19"/>
        </w:rPr>
        <w:t xml:space="preserve"> </w:t>
      </w:r>
    </w:p>
    <w:p w14:paraId="7874B479" w14:textId="77777777" w:rsidR="00AF00F8" w:rsidRPr="00AF00F8" w:rsidRDefault="00AF00F8" w:rsidP="00AF00F8">
      <w:pPr>
        <w:spacing w:before="128" w:line="211" w:lineRule="auto"/>
        <w:ind w:left="392"/>
        <w:rPr>
          <w:rFonts w:ascii="宋体" w:eastAsia="宋体" w:hAnsi="宋体" w:cs="宋体" w:hint="eastAsia"/>
          <w:color w:val="auto"/>
          <w:spacing w:val="1"/>
          <w:sz w:val="19"/>
          <w:szCs w:val="19"/>
        </w:rPr>
      </w:pPr>
      <w:r w:rsidRPr="00AF00F8">
        <w:rPr>
          <w:rFonts w:ascii="宋体" w:eastAsia="宋体" w:hAnsi="宋体" w:cs="宋体"/>
          <w:color w:val="auto"/>
          <w:spacing w:val="2"/>
          <w:sz w:val="19"/>
          <w:szCs w:val="19"/>
        </w:rPr>
        <w:t>标的名称：</w:t>
      </w:r>
      <w:r w:rsidRPr="00AF00F8">
        <w:rPr>
          <w:rFonts w:ascii="宋体" w:eastAsia="宋体" w:hAnsi="宋体" w:cs="宋体" w:hint="eastAsia"/>
          <w:color w:val="auto"/>
          <w:spacing w:val="2"/>
          <w:sz w:val="19"/>
          <w:szCs w:val="19"/>
        </w:rPr>
        <w:t>多功能腰带</w:t>
      </w:r>
    </w:p>
    <w:tbl>
      <w:tblPr>
        <w:tblStyle w:val="af2"/>
        <w:tblW w:w="9923" w:type="dxa"/>
        <w:tblInd w:w="-5" w:type="dxa"/>
        <w:tblLook w:val="04A0" w:firstRow="1" w:lastRow="0" w:firstColumn="1" w:lastColumn="0" w:noHBand="0" w:noVBand="1"/>
      </w:tblPr>
      <w:tblGrid>
        <w:gridCol w:w="993"/>
        <w:gridCol w:w="1134"/>
        <w:gridCol w:w="7796"/>
      </w:tblGrid>
      <w:tr w:rsidR="00AF00F8" w:rsidRPr="00AF00F8" w14:paraId="139E0EA7" w14:textId="77777777" w:rsidTr="00E54A53">
        <w:tc>
          <w:tcPr>
            <w:tcW w:w="993" w:type="dxa"/>
          </w:tcPr>
          <w:p w14:paraId="303C6F62" w14:textId="77777777" w:rsidR="00AF00F8" w:rsidRPr="00AF00F8" w:rsidRDefault="00AF00F8" w:rsidP="00E81919">
            <w:pPr>
              <w:spacing w:before="128" w:line="211" w:lineRule="auto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3"/>
                <w:sz w:val="19"/>
                <w:szCs w:val="19"/>
              </w:rPr>
              <w:t>序</w:t>
            </w:r>
            <w:r w:rsidRPr="00AF00F8">
              <w:rPr>
                <w:rFonts w:ascii="宋体" w:eastAsia="宋体" w:hAnsi="宋体" w:cs="宋体"/>
                <w:color w:val="auto"/>
                <w:spacing w:val="-2"/>
                <w:sz w:val="19"/>
                <w:szCs w:val="19"/>
              </w:rPr>
              <w:t>号</w:t>
            </w:r>
          </w:p>
        </w:tc>
        <w:tc>
          <w:tcPr>
            <w:tcW w:w="1134" w:type="dxa"/>
          </w:tcPr>
          <w:p w14:paraId="1989CBF6" w14:textId="77777777" w:rsidR="00AF00F8" w:rsidRPr="00AF00F8" w:rsidRDefault="00AF00F8" w:rsidP="00E81919">
            <w:pPr>
              <w:spacing w:before="128" w:line="211" w:lineRule="auto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1"/>
                <w:sz w:val="19"/>
                <w:szCs w:val="19"/>
              </w:rPr>
              <w:t>参数性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质</w:t>
            </w:r>
          </w:p>
        </w:tc>
        <w:tc>
          <w:tcPr>
            <w:tcW w:w="7796" w:type="dxa"/>
          </w:tcPr>
          <w:p w14:paraId="5662492C" w14:textId="77777777" w:rsidR="00AF00F8" w:rsidRPr="00AF00F8" w:rsidRDefault="00AF00F8" w:rsidP="00E81919">
            <w:pPr>
              <w:spacing w:before="128" w:line="211" w:lineRule="auto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1"/>
                <w:sz w:val="19"/>
                <w:szCs w:val="19"/>
              </w:rPr>
              <w:t>技术参数与性能指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标</w:t>
            </w:r>
          </w:p>
        </w:tc>
      </w:tr>
      <w:tr w:rsidR="00AF00F8" w:rsidRPr="00AF00F8" w14:paraId="5858A2E8" w14:textId="77777777" w:rsidTr="00E54A53">
        <w:tc>
          <w:tcPr>
            <w:tcW w:w="993" w:type="dxa"/>
          </w:tcPr>
          <w:p w14:paraId="31A4E533" w14:textId="77777777" w:rsidR="00AF00F8" w:rsidRPr="00AF00F8" w:rsidRDefault="00AF00F8" w:rsidP="00E81919">
            <w:pPr>
              <w:spacing w:before="128" w:line="211" w:lineRule="auto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</w:p>
        </w:tc>
        <w:tc>
          <w:tcPr>
            <w:tcW w:w="1134" w:type="dxa"/>
          </w:tcPr>
          <w:p w14:paraId="1DF9A8C6" w14:textId="77777777" w:rsidR="00AF00F8" w:rsidRPr="00AF00F8" w:rsidRDefault="00AF00F8" w:rsidP="00E81919">
            <w:pPr>
              <w:spacing w:before="128" w:line="211" w:lineRule="auto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</w:p>
        </w:tc>
        <w:tc>
          <w:tcPr>
            <w:tcW w:w="7796" w:type="dxa"/>
          </w:tcPr>
          <w:p w14:paraId="0DCC8634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多功能腰带技术参数要求</w:t>
            </w:r>
          </w:p>
          <w:p w14:paraId="7A453D4C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1、结构：由主腰带、内腰带、斜挂带和装具套组成，装具套含警棍套、强光手电套、工作包、手铐套、催泪喷射器套、对讲机套；</w:t>
            </w:r>
          </w:p>
          <w:p w14:paraId="4D4D8698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2、质量：＜1.0kg；</w:t>
            </w:r>
          </w:p>
          <w:p w14:paraId="323143F8" w14:textId="77777777" w:rsidR="00AF00F8" w:rsidRPr="00AF00F8" w:rsidRDefault="00AF00F8" w:rsidP="00E54A53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3、甲醛含量：未检出；</w:t>
            </w:r>
          </w:p>
          <w:p w14:paraId="27095743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4、耐盐雾性能：≥60h腰带钎子表面无腐蚀斑点；</w:t>
            </w:r>
          </w:p>
          <w:p w14:paraId="2C657AD6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▲5、斜挂带卡扣抗拉性能≥900N；</w:t>
            </w:r>
          </w:p>
          <w:p w14:paraId="4C2620E2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6、装具套开口缝合部位施加≥600N的拉力保持30s，不应撕裂；</w:t>
            </w:r>
          </w:p>
          <w:p w14:paraId="6DC86055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▲7、腰带钎子在扣合状态下，施加≥1800N的拉力保持30s，不应脱出或破损，能正常使用；</w:t>
            </w:r>
          </w:p>
          <w:p w14:paraId="3B247BBD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▲8、警棍套施加＞2000N的拉力保持30s，连接件不应断裂；</w:t>
            </w:r>
          </w:p>
          <w:p w14:paraId="01ABDA01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▲9、催泪喷射器套施加＞2000N的拉力保持30s，连接件不应断裂；；</w:t>
            </w:r>
          </w:p>
          <w:p w14:paraId="38D711C2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▲10、插拔性能：腰带钎子、警棍套警棍＞10000次；</w:t>
            </w:r>
          </w:p>
          <w:p w14:paraId="2DD11E90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▲11、旋转性能：警棍套、催泪喷射器套＞10000次；</w:t>
            </w:r>
          </w:p>
          <w:p w14:paraId="4A8E580C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12、色牢度：耐汗渍色牢度≥4级；耐摩擦色牢度：干摩≥4级，湿摩≥4级；耐刷洗色牢度≥4-5级；耐光色牢度≥4-5级；</w:t>
            </w:r>
          </w:p>
          <w:p w14:paraId="51D4A71D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★13、执行标准：《GA 890-2018 公安单警装备 多功能腰带》。</w:t>
            </w:r>
          </w:p>
          <w:p w14:paraId="661BECCF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须提供第三方机构出具的承检范围包括本投标产品的检验报告。</w:t>
            </w:r>
          </w:p>
        </w:tc>
      </w:tr>
      <w:tr w:rsidR="00AF00F8" w:rsidRPr="00AF00F8" w14:paraId="3734183F" w14:textId="77777777" w:rsidTr="00E54A53">
        <w:tc>
          <w:tcPr>
            <w:tcW w:w="9923" w:type="dxa"/>
            <w:gridSpan w:val="3"/>
          </w:tcPr>
          <w:p w14:paraId="5B6E72B9" w14:textId="77777777" w:rsidR="00AF00F8" w:rsidRPr="00AF00F8" w:rsidRDefault="00AF00F8" w:rsidP="00E81919">
            <w:pPr>
              <w:spacing w:before="128" w:line="211" w:lineRule="auto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打“★"号条款为实质性条款，若有任何一条负偏离或不满足则导致响应无效。</w:t>
            </w:r>
          </w:p>
        </w:tc>
      </w:tr>
    </w:tbl>
    <w:p w14:paraId="6492F816" w14:textId="77777777" w:rsidR="00AF00F8" w:rsidRPr="00AF00F8" w:rsidRDefault="00AF00F8" w:rsidP="00AF00F8">
      <w:pPr>
        <w:spacing w:before="128" w:line="211" w:lineRule="auto"/>
        <w:ind w:left="392"/>
        <w:rPr>
          <w:rFonts w:ascii="宋体" w:eastAsia="宋体" w:hAnsi="宋体" w:cs="宋体" w:hint="eastAsia"/>
          <w:color w:val="auto"/>
          <w:spacing w:val="1"/>
          <w:sz w:val="19"/>
          <w:szCs w:val="19"/>
        </w:rPr>
      </w:pPr>
      <w:r w:rsidRPr="00AF00F8">
        <w:rPr>
          <w:rFonts w:ascii="宋体" w:eastAsia="宋体" w:hAnsi="宋体" w:cs="宋体"/>
          <w:color w:val="auto"/>
          <w:spacing w:val="2"/>
          <w:sz w:val="19"/>
          <w:szCs w:val="19"/>
        </w:rPr>
        <w:t>标的名称：</w:t>
      </w:r>
      <w:r w:rsidRPr="00AF00F8">
        <w:rPr>
          <w:rFonts w:ascii="宋体" w:eastAsia="宋体" w:hAnsi="宋体" w:cs="宋体" w:hint="eastAsia"/>
          <w:color w:val="auto"/>
          <w:spacing w:val="2"/>
          <w:sz w:val="19"/>
          <w:szCs w:val="19"/>
        </w:rPr>
        <w:t>强光手电（战术款）</w:t>
      </w:r>
    </w:p>
    <w:tbl>
      <w:tblPr>
        <w:tblStyle w:val="TableNormal"/>
        <w:tblpPr w:leftFromText="180" w:rightFromText="180" w:vertAnchor="text" w:horzAnchor="page" w:tblpX="1101" w:tblpY="220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1067"/>
        <w:gridCol w:w="7930"/>
      </w:tblGrid>
      <w:tr w:rsidR="00AF00F8" w:rsidRPr="00AF00F8" w14:paraId="597DC805" w14:textId="77777777" w:rsidTr="00E81919">
        <w:trPr>
          <w:trHeight w:val="397"/>
        </w:trPr>
        <w:tc>
          <w:tcPr>
            <w:tcW w:w="1073" w:type="dxa"/>
            <w:tcBorders>
              <w:top w:val="single" w:sz="2" w:space="0" w:color="000000"/>
              <w:bottom w:val="single" w:sz="2" w:space="0" w:color="000000"/>
            </w:tcBorders>
          </w:tcPr>
          <w:p w14:paraId="75443D9A" w14:textId="77777777" w:rsidR="00AF00F8" w:rsidRPr="00AF00F8" w:rsidRDefault="00AF00F8" w:rsidP="00E81919">
            <w:pPr>
              <w:spacing w:before="93" w:line="223" w:lineRule="auto"/>
              <w:ind w:left="98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3"/>
                <w:sz w:val="19"/>
                <w:szCs w:val="19"/>
              </w:rPr>
              <w:t>序</w:t>
            </w:r>
            <w:r w:rsidRPr="00AF00F8">
              <w:rPr>
                <w:rFonts w:ascii="宋体" w:eastAsia="宋体" w:hAnsi="宋体" w:cs="宋体"/>
                <w:color w:val="auto"/>
                <w:spacing w:val="-2"/>
                <w:sz w:val="19"/>
                <w:szCs w:val="19"/>
              </w:rPr>
              <w:t>号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14:paraId="55FC4670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1"/>
                <w:sz w:val="19"/>
                <w:szCs w:val="19"/>
              </w:rPr>
              <w:t>参数性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质</w:t>
            </w:r>
          </w:p>
        </w:tc>
        <w:tc>
          <w:tcPr>
            <w:tcW w:w="7930" w:type="dxa"/>
            <w:tcBorders>
              <w:top w:val="single" w:sz="2" w:space="0" w:color="000000"/>
              <w:bottom w:val="single" w:sz="2" w:space="0" w:color="000000"/>
            </w:tcBorders>
          </w:tcPr>
          <w:p w14:paraId="4A271C84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1"/>
                <w:sz w:val="19"/>
                <w:szCs w:val="19"/>
              </w:rPr>
              <w:t>技术参数与性能指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标</w:t>
            </w:r>
          </w:p>
        </w:tc>
      </w:tr>
      <w:tr w:rsidR="00AF00F8" w:rsidRPr="00AF00F8" w14:paraId="79B366BD" w14:textId="77777777" w:rsidTr="00E81919">
        <w:trPr>
          <w:trHeight w:val="397"/>
        </w:trPr>
        <w:tc>
          <w:tcPr>
            <w:tcW w:w="1073" w:type="dxa"/>
            <w:tcBorders>
              <w:top w:val="single" w:sz="2" w:space="0" w:color="000000"/>
              <w:bottom w:val="single" w:sz="2" w:space="0" w:color="000000"/>
            </w:tcBorders>
          </w:tcPr>
          <w:p w14:paraId="496F6060" w14:textId="77777777" w:rsidR="00AF00F8" w:rsidRPr="00AF00F8" w:rsidRDefault="00AF00F8" w:rsidP="00E81919">
            <w:pPr>
              <w:spacing w:before="93" w:line="223" w:lineRule="auto"/>
              <w:ind w:left="98"/>
              <w:rPr>
                <w:rFonts w:ascii="宋体" w:eastAsia="宋体" w:hAnsi="宋体" w:cs="宋体" w:hint="eastAsia"/>
                <w:color w:val="auto"/>
                <w:spacing w:val="-3"/>
                <w:sz w:val="19"/>
                <w:szCs w:val="19"/>
              </w:rPr>
            </w:pP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14:paraId="50D126AE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-1"/>
                <w:sz w:val="19"/>
                <w:szCs w:val="19"/>
              </w:rPr>
            </w:pPr>
          </w:p>
        </w:tc>
        <w:tc>
          <w:tcPr>
            <w:tcW w:w="7930" w:type="dxa"/>
            <w:tcBorders>
              <w:top w:val="single" w:sz="2" w:space="0" w:color="000000"/>
              <w:bottom w:val="single" w:sz="2" w:space="0" w:color="000000"/>
            </w:tcBorders>
          </w:tcPr>
          <w:p w14:paraId="02C5B8F5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强光手电（战术款）技术参数要求：</w:t>
            </w:r>
          </w:p>
          <w:p w14:paraId="76553703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、产品结构：采用尾盖开关，按钮区域分为照明键和爆闪键，外壳为防滚动圆柱形结构。由头盖组件（包括头盖、攻击头等）、筒身组件（包括筒身、隐藏式USB充电接口）、电池、尾盖组件（包括开关组件、4格电量提示灯）及手绳（包括调节扣）组成。</w:t>
            </w:r>
          </w:p>
          <w:p w14:paraId="3E2C6E25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2、产品尺寸：总长度为154.6mm±2mm，握柄直径27.5mm±1mm，头盖外径35mm±1mm，手绳长度155mm±5mm；</w:t>
            </w:r>
          </w:p>
          <w:p w14:paraId="498A5C2E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3、产品颜色：主体表面为黑色，激光雕刻处为银白色，手绳为黑色；</w:t>
            </w:r>
          </w:p>
          <w:p w14:paraId="5BFF2946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▲4、产品质量：总质量（含18650锂离子充电电池和手绳）＜200g；</w:t>
            </w:r>
          </w:p>
          <w:p w14:paraId="66DF5717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5、产品性能：</w:t>
            </w:r>
          </w:p>
          <w:p w14:paraId="211D0671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5.1、电池：</w:t>
            </w:r>
          </w:p>
          <w:p w14:paraId="718CE4E8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5.1.1电池兼容性：使用1节18650锂离子充电电池，3节AAA碱性电池或1节AA碱性电池。可互相兼容；</w:t>
            </w:r>
          </w:p>
          <w:p w14:paraId="4536798A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5.1.2电池保护功能：18650锂离子充电电池具有过压充电保护、过流充电保护、欠压放电保护、外部短路保护功能，且测试后，不起火、不爆炸、不漏液。</w:t>
            </w:r>
          </w:p>
          <w:p w14:paraId="55E17447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5.1.3电量提示功能：手电设置四格电量提示灯，在开启或关闭光源时，提示灯点亮，显示剩余电量状态。</w:t>
            </w:r>
          </w:p>
          <w:p w14:paraId="4536BD21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5.2强光初始光通量：≥245 lm；</w:t>
            </w:r>
          </w:p>
          <w:p w14:paraId="6002860F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5.3强光初始照度及色品坐标：强光模式下，距光源5m处光斑中心初始照度≥310 lx；</w:t>
            </w:r>
          </w:p>
          <w:p w14:paraId="5BDDDCF1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lastRenderedPageBreak/>
              <w:t>5.4强光照明时间：强光模式下，连续照明300min,距光源5m处光斑中心照度值≥160 lx；</w:t>
            </w:r>
          </w:p>
          <w:p w14:paraId="6971EE2D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5.5弱光初始照度：弱光模式下，距光源1 m处光斑中心初始照度 为120 lx～ 180 lx；</w:t>
            </w:r>
          </w:p>
          <w:p w14:paraId="52CB3260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5.6强光爆闪频率：8Hz～10Hz；</w:t>
            </w:r>
          </w:p>
          <w:p w14:paraId="58587AA5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5.7光束角：6°～ 9°；</w:t>
            </w:r>
          </w:p>
          <w:p w14:paraId="5565E9C0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5.8防水性能：在0.5m深度水密封试验1h，内部不进水，能正常使用；</w:t>
            </w:r>
          </w:p>
          <w:p w14:paraId="41C55479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5.9跌落可靠性：以水平状态，头部向下状态和尾部向下三种姿态，从1.5m的高度自由跌落到水泥地面上，手电无裂纹，破碎，氮化硅球不摔落，能正常使用；</w:t>
            </w:r>
          </w:p>
          <w:p w14:paraId="4A468B1C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5.10外壳强度：外壳能承受1000N的径向压力后，不变形，能正常使用；</w:t>
            </w:r>
          </w:p>
          <w:p w14:paraId="0F539342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▲5.11开关耐久性：对照明键、爆闪键分别触压45000次后，开关按键正常，能正常使用；</w:t>
            </w:r>
          </w:p>
          <w:p w14:paraId="1444F58A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5.12充电插头座连接可靠性：充电插头插拔3000次后，能正常充电；</w:t>
            </w:r>
          </w:p>
          <w:p w14:paraId="348C6934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5.13手绳强度：≥50N；</w:t>
            </w:r>
          </w:p>
          <w:p w14:paraId="09ACC0F7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5.14外壳温升：≤8K；</w:t>
            </w:r>
          </w:p>
          <w:p w14:paraId="43738BBD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5.15、碎玻璃性能：使用攻击头氮化硅球部分能击碎5mm厚钢化玻璃，氮化硅球不掉落，不碎裂，能正常使用；</w:t>
            </w:r>
          </w:p>
          <w:p w14:paraId="42C49A7E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6、环境适应性：</w:t>
            </w:r>
          </w:p>
          <w:p w14:paraId="0B679C88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6.1 低温性能：手电在温度-20℃±2℃的环境下，持续放置2h开关工作模式转换功能正常；</w:t>
            </w:r>
          </w:p>
          <w:p w14:paraId="20ECCF32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6.2 湿热性能：手电在温度45℃±2℃、湿度95%±2%RH的环境下，持续放置48h开关工作模式转换功能正常；</w:t>
            </w:r>
          </w:p>
          <w:p w14:paraId="37D57713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★7、执行标准：《GA 883-2018 公安单警装备 强光手电》。</w:t>
            </w:r>
          </w:p>
          <w:p w14:paraId="1345D970" w14:textId="77777777" w:rsidR="00AF00F8" w:rsidRPr="00AF00F8" w:rsidRDefault="00AF00F8" w:rsidP="00E81919">
            <w:pPr>
              <w:spacing w:line="320" w:lineRule="exact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须提供第三方机构出具的承检范围包括本投标产品的检验报告。</w:t>
            </w:r>
          </w:p>
        </w:tc>
      </w:tr>
      <w:tr w:rsidR="00AF00F8" w:rsidRPr="00AF00F8" w14:paraId="36186983" w14:textId="77777777" w:rsidTr="00E81919">
        <w:trPr>
          <w:trHeight w:val="137"/>
        </w:trPr>
        <w:tc>
          <w:tcPr>
            <w:tcW w:w="1007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27964AE" w14:textId="77777777" w:rsidR="00AF00F8" w:rsidRPr="00AF00F8" w:rsidRDefault="00AF00F8" w:rsidP="00E81919">
            <w:pPr>
              <w:rPr>
                <w:rFonts w:ascii="宋体" w:eastAsia="宋体" w:hAnsi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hint="eastAsia"/>
                <w:color w:val="auto"/>
                <w:sz w:val="19"/>
                <w:szCs w:val="19"/>
              </w:rPr>
              <w:lastRenderedPageBreak/>
              <w:t>打“★"号条款为实质性条款，若有任何一条负偏离或不满足则导致响应无效。</w:t>
            </w:r>
          </w:p>
        </w:tc>
      </w:tr>
    </w:tbl>
    <w:p w14:paraId="61949BA2" w14:textId="77777777" w:rsidR="00AF00F8" w:rsidRPr="00AF00F8" w:rsidRDefault="00AF00F8" w:rsidP="00AF00F8">
      <w:pPr>
        <w:spacing w:before="128" w:line="211" w:lineRule="auto"/>
        <w:ind w:left="392"/>
        <w:rPr>
          <w:rFonts w:ascii="宋体" w:eastAsia="宋体" w:hAnsi="宋体" w:cs="宋体" w:hint="eastAsia"/>
          <w:color w:val="auto"/>
          <w:spacing w:val="1"/>
          <w:sz w:val="19"/>
          <w:szCs w:val="19"/>
        </w:rPr>
      </w:pPr>
      <w:r w:rsidRPr="00AF00F8">
        <w:rPr>
          <w:rFonts w:ascii="宋体" w:eastAsia="宋体" w:hAnsi="宋体" w:cs="宋体"/>
          <w:color w:val="auto"/>
          <w:spacing w:val="2"/>
          <w:sz w:val="19"/>
          <w:szCs w:val="19"/>
        </w:rPr>
        <w:t>标的名称：</w:t>
      </w:r>
      <w:r w:rsidRPr="00AF00F8">
        <w:rPr>
          <w:rFonts w:ascii="宋体" w:eastAsia="宋体" w:hAnsi="宋体" w:cs="宋体" w:hint="eastAsia"/>
          <w:color w:val="auto"/>
          <w:spacing w:val="2"/>
          <w:sz w:val="19"/>
          <w:szCs w:val="19"/>
        </w:rPr>
        <w:t>催泪喷射器（竖喷）</w:t>
      </w:r>
    </w:p>
    <w:tbl>
      <w:tblPr>
        <w:tblStyle w:val="TableNormal"/>
        <w:tblpPr w:leftFromText="180" w:rightFromText="180" w:vertAnchor="text" w:horzAnchor="page" w:tblpX="1101" w:tblpY="220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1067"/>
        <w:gridCol w:w="7930"/>
      </w:tblGrid>
      <w:tr w:rsidR="00AF00F8" w:rsidRPr="00AF00F8" w14:paraId="03C1B2E4" w14:textId="77777777" w:rsidTr="00E81919">
        <w:trPr>
          <w:trHeight w:val="397"/>
        </w:trPr>
        <w:tc>
          <w:tcPr>
            <w:tcW w:w="1073" w:type="dxa"/>
            <w:tcBorders>
              <w:top w:val="single" w:sz="2" w:space="0" w:color="000000"/>
              <w:bottom w:val="single" w:sz="2" w:space="0" w:color="000000"/>
            </w:tcBorders>
          </w:tcPr>
          <w:p w14:paraId="1D2375E9" w14:textId="77777777" w:rsidR="00AF00F8" w:rsidRPr="00AF00F8" w:rsidRDefault="00AF00F8" w:rsidP="00E81919">
            <w:pPr>
              <w:spacing w:before="93" w:line="223" w:lineRule="auto"/>
              <w:ind w:left="98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3"/>
                <w:sz w:val="19"/>
                <w:szCs w:val="19"/>
              </w:rPr>
              <w:t>序</w:t>
            </w:r>
            <w:r w:rsidRPr="00AF00F8">
              <w:rPr>
                <w:rFonts w:ascii="宋体" w:eastAsia="宋体" w:hAnsi="宋体" w:cs="宋体"/>
                <w:color w:val="auto"/>
                <w:spacing w:val="-2"/>
                <w:sz w:val="19"/>
                <w:szCs w:val="19"/>
              </w:rPr>
              <w:t>号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14:paraId="746F403C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1"/>
                <w:sz w:val="19"/>
                <w:szCs w:val="19"/>
              </w:rPr>
              <w:t>参数性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质</w:t>
            </w:r>
          </w:p>
        </w:tc>
        <w:tc>
          <w:tcPr>
            <w:tcW w:w="7930" w:type="dxa"/>
            <w:tcBorders>
              <w:top w:val="single" w:sz="2" w:space="0" w:color="000000"/>
              <w:bottom w:val="single" w:sz="2" w:space="0" w:color="000000"/>
            </w:tcBorders>
          </w:tcPr>
          <w:p w14:paraId="6B0040C5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1"/>
                <w:sz w:val="19"/>
                <w:szCs w:val="19"/>
              </w:rPr>
              <w:t>技术参数与性能指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标</w:t>
            </w:r>
          </w:p>
        </w:tc>
      </w:tr>
      <w:tr w:rsidR="00AF00F8" w:rsidRPr="00AF00F8" w14:paraId="646A783C" w14:textId="77777777" w:rsidTr="00E81919">
        <w:trPr>
          <w:trHeight w:val="397"/>
        </w:trPr>
        <w:tc>
          <w:tcPr>
            <w:tcW w:w="1073" w:type="dxa"/>
            <w:tcBorders>
              <w:top w:val="single" w:sz="2" w:space="0" w:color="000000"/>
              <w:bottom w:val="single" w:sz="2" w:space="0" w:color="000000"/>
            </w:tcBorders>
          </w:tcPr>
          <w:p w14:paraId="38F888E7" w14:textId="77777777" w:rsidR="00AF00F8" w:rsidRPr="00AF00F8" w:rsidRDefault="00AF00F8" w:rsidP="00E81919">
            <w:pPr>
              <w:spacing w:before="93" w:line="223" w:lineRule="auto"/>
              <w:ind w:left="98"/>
              <w:rPr>
                <w:rFonts w:ascii="宋体" w:eastAsia="宋体" w:hAnsi="宋体" w:cs="宋体" w:hint="eastAsia"/>
                <w:color w:val="auto"/>
                <w:spacing w:val="-3"/>
                <w:sz w:val="19"/>
                <w:szCs w:val="19"/>
              </w:rPr>
            </w:pP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14:paraId="31A8E8F9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-1"/>
                <w:sz w:val="19"/>
                <w:szCs w:val="19"/>
              </w:rPr>
            </w:pPr>
          </w:p>
        </w:tc>
        <w:tc>
          <w:tcPr>
            <w:tcW w:w="7930" w:type="dxa"/>
            <w:tcBorders>
              <w:top w:val="single" w:sz="2" w:space="0" w:color="000000"/>
              <w:bottom w:val="single" w:sz="2" w:space="0" w:color="000000"/>
            </w:tcBorders>
          </w:tcPr>
          <w:p w14:paraId="37FE773E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  <w:t>催泪喷射器（竖喷）技术参数要求</w:t>
            </w:r>
          </w:p>
          <w:p w14:paraId="383156BF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1、结构：由保险盖、扭簧、转轴、喷嘴、压套、支撑套、支撑盖、内罐、囊袋组件、催泪剂溶液、外罐等零部件组成；</w:t>
            </w:r>
          </w:p>
          <w:p w14:paraId="57D9B354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2、尺寸：罐体外径Φ40mm±0.5mm，高度188.5mm±2mm；</w:t>
            </w:r>
          </w:p>
          <w:p w14:paraId="55C18477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3、质量：≤180g；</w:t>
            </w:r>
          </w:p>
          <w:p w14:paraId="7C03B918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4、催泪剂溶液装填量：70mL±3mL；</w:t>
            </w:r>
          </w:p>
          <w:p w14:paraId="35E0D531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5、连续喷射性能：喷射状态为定向射流状，喷射距离≥5m，有效喷射时间≥8s，完全喷射后剩余溶液量≤1.5mL；</w:t>
            </w:r>
          </w:p>
          <w:p w14:paraId="0D5F7BDD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6、间断喷射性能：催泪喷射器有效喷射3s后，放置8h后再次进行喷射，喷射距离≥4m，喷射距离达到4m的时间≥4s，完全喷射后剩余溶液量≤2mL；</w:t>
            </w:r>
          </w:p>
          <w:p w14:paraId="231F9691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7、承压安全性：催泪喷射器经1080N承压试验后，应不解体、不泄漏、不爆裂，能正常使用，且符合喷射性能的要求，喷射为定向射流状，喷射距离应≥5m，有效喷射时间应≥8.5s，完全喷射后剩余溶液量应≤1.5mL；</w:t>
            </w:r>
          </w:p>
          <w:p w14:paraId="0DE004E2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▲8、保险盖可靠性：催泪喷射器应配有安全可靠的防止误喷的保护帽，保护帽应装配平滑、复位顺畅，按钮开关松紧适度，有足够的回复力，保险盖重复启闭 230 次应可正常使用，喷射为定向射流状，喷射距离应≥5m，有效喷射时间应≥8.5s，完全喷射后剩余溶液量应≤1.5mL；</w:t>
            </w:r>
          </w:p>
          <w:p w14:paraId="6627FB29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▲9、跌落可靠性：经振动试验后的催泪喷射器以正立、倒置和横放三种姿态，从1.5m高度自由跌落至水泥地面上，各试验4次，应不解体、不泄露、不爆裂，且应符合连续喷射性能的要求；</w:t>
            </w:r>
          </w:p>
          <w:p w14:paraId="26DB426A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10、温度适应性：-30℃～+55℃；</w:t>
            </w:r>
          </w:p>
          <w:p w14:paraId="448FB346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★11、执行标准：《GA 884-2018 公安单警装备 催泪喷射器》。</w:t>
            </w:r>
          </w:p>
          <w:p w14:paraId="57DD6B4E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lastRenderedPageBreak/>
              <w:t>须提供第三方机构出具的承检范围包括本投标产品的检验报告。</w:t>
            </w:r>
          </w:p>
        </w:tc>
      </w:tr>
      <w:tr w:rsidR="00AF00F8" w:rsidRPr="00AF00F8" w14:paraId="2BE37E3B" w14:textId="77777777" w:rsidTr="00E81919">
        <w:trPr>
          <w:trHeight w:val="397"/>
        </w:trPr>
        <w:tc>
          <w:tcPr>
            <w:tcW w:w="1007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3937B06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  <w:lastRenderedPageBreak/>
              <w:t>打“★"号条款为实质性条款，若有任何一条负偏离或不满足则导致响应无效。</w:t>
            </w:r>
          </w:p>
        </w:tc>
      </w:tr>
    </w:tbl>
    <w:p w14:paraId="516E6A3C" w14:textId="77777777" w:rsidR="00AF00F8" w:rsidRPr="00AF00F8" w:rsidRDefault="00AF00F8" w:rsidP="00AF00F8">
      <w:pPr>
        <w:spacing w:before="128" w:line="211" w:lineRule="auto"/>
        <w:ind w:left="392"/>
        <w:rPr>
          <w:rFonts w:ascii="宋体" w:eastAsia="宋体" w:hAnsi="宋体" w:cs="宋体" w:hint="eastAsia"/>
          <w:color w:val="auto"/>
          <w:spacing w:val="1"/>
          <w:sz w:val="19"/>
          <w:szCs w:val="19"/>
        </w:rPr>
      </w:pPr>
      <w:r w:rsidRPr="00AF00F8">
        <w:rPr>
          <w:rFonts w:ascii="宋体" w:eastAsia="宋体" w:hAnsi="宋体" w:cs="宋体"/>
          <w:color w:val="auto"/>
          <w:spacing w:val="2"/>
          <w:sz w:val="19"/>
          <w:szCs w:val="19"/>
        </w:rPr>
        <w:t>标的名称：</w:t>
      </w:r>
      <w:r w:rsidRPr="00AF00F8">
        <w:rPr>
          <w:rFonts w:ascii="宋体" w:eastAsia="宋体" w:hAnsi="宋体" w:cs="宋体" w:hint="eastAsia"/>
          <w:color w:val="auto"/>
          <w:spacing w:val="2"/>
          <w:sz w:val="19"/>
          <w:szCs w:val="19"/>
        </w:rPr>
        <w:t>金属手铐</w:t>
      </w:r>
    </w:p>
    <w:tbl>
      <w:tblPr>
        <w:tblStyle w:val="TableNormal"/>
        <w:tblpPr w:leftFromText="180" w:rightFromText="180" w:vertAnchor="text" w:horzAnchor="page" w:tblpX="1101" w:tblpY="220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1067"/>
        <w:gridCol w:w="7930"/>
      </w:tblGrid>
      <w:tr w:rsidR="00AF00F8" w:rsidRPr="00AF00F8" w14:paraId="27EE76A5" w14:textId="77777777" w:rsidTr="00E81919">
        <w:trPr>
          <w:trHeight w:val="397"/>
        </w:trPr>
        <w:tc>
          <w:tcPr>
            <w:tcW w:w="1073" w:type="dxa"/>
            <w:tcBorders>
              <w:top w:val="single" w:sz="2" w:space="0" w:color="000000"/>
              <w:bottom w:val="single" w:sz="2" w:space="0" w:color="000000"/>
            </w:tcBorders>
          </w:tcPr>
          <w:p w14:paraId="13EE609B" w14:textId="77777777" w:rsidR="00AF00F8" w:rsidRPr="00AF00F8" w:rsidRDefault="00AF00F8" w:rsidP="00E81919">
            <w:pPr>
              <w:spacing w:before="93" w:line="223" w:lineRule="auto"/>
              <w:ind w:left="98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3"/>
                <w:sz w:val="19"/>
                <w:szCs w:val="19"/>
              </w:rPr>
              <w:t>序</w:t>
            </w:r>
            <w:r w:rsidRPr="00AF00F8">
              <w:rPr>
                <w:rFonts w:ascii="宋体" w:eastAsia="宋体" w:hAnsi="宋体" w:cs="宋体"/>
                <w:color w:val="auto"/>
                <w:spacing w:val="-2"/>
                <w:sz w:val="19"/>
                <w:szCs w:val="19"/>
              </w:rPr>
              <w:t>号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14:paraId="3AFCE7DC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1"/>
                <w:sz w:val="19"/>
                <w:szCs w:val="19"/>
              </w:rPr>
              <w:t>参数性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质</w:t>
            </w:r>
          </w:p>
        </w:tc>
        <w:tc>
          <w:tcPr>
            <w:tcW w:w="7930" w:type="dxa"/>
            <w:tcBorders>
              <w:top w:val="single" w:sz="2" w:space="0" w:color="000000"/>
              <w:bottom w:val="single" w:sz="2" w:space="0" w:color="000000"/>
            </w:tcBorders>
          </w:tcPr>
          <w:p w14:paraId="1357BCB0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1"/>
                <w:sz w:val="19"/>
                <w:szCs w:val="19"/>
              </w:rPr>
              <w:t>技术参数与性能指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标</w:t>
            </w:r>
          </w:p>
        </w:tc>
      </w:tr>
      <w:tr w:rsidR="00AF00F8" w:rsidRPr="00AF00F8" w14:paraId="255F3E5A" w14:textId="77777777" w:rsidTr="00E81919">
        <w:trPr>
          <w:trHeight w:val="397"/>
        </w:trPr>
        <w:tc>
          <w:tcPr>
            <w:tcW w:w="1073" w:type="dxa"/>
            <w:tcBorders>
              <w:top w:val="single" w:sz="2" w:space="0" w:color="000000"/>
              <w:bottom w:val="single" w:sz="2" w:space="0" w:color="000000"/>
            </w:tcBorders>
          </w:tcPr>
          <w:p w14:paraId="024A4F18" w14:textId="77777777" w:rsidR="00AF00F8" w:rsidRPr="00AF00F8" w:rsidRDefault="00AF00F8" w:rsidP="00E81919">
            <w:pPr>
              <w:spacing w:before="93" w:line="223" w:lineRule="auto"/>
              <w:ind w:left="98"/>
              <w:rPr>
                <w:rFonts w:ascii="宋体" w:eastAsia="宋体" w:hAnsi="宋体" w:cs="宋体" w:hint="eastAsia"/>
                <w:color w:val="auto"/>
                <w:spacing w:val="-3"/>
                <w:sz w:val="19"/>
                <w:szCs w:val="19"/>
              </w:rPr>
            </w:pP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14:paraId="77C8F334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-1"/>
                <w:sz w:val="19"/>
                <w:szCs w:val="19"/>
              </w:rPr>
            </w:pPr>
          </w:p>
        </w:tc>
        <w:tc>
          <w:tcPr>
            <w:tcW w:w="7930" w:type="dxa"/>
            <w:tcBorders>
              <w:top w:val="single" w:sz="2" w:space="0" w:color="000000"/>
              <w:bottom w:val="single" w:sz="2" w:space="0" w:color="000000"/>
            </w:tcBorders>
          </w:tcPr>
          <w:p w14:paraId="73270787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  <w:t>金属手铐</w:t>
            </w: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技术参数要求</w:t>
            </w:r>
          </w:p>
          <w:p w14:paraId="3B58BDB4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1、结构：由左、右铐体和三排齿的扇梁、链座、链环、钥匙等组成；</w:t>
            </w:r>
          </w:p>
          <w:p w14:paraId="56727F60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2、质量：≤230g；</w:t>
            </w:r>
          </w:p>
          <w:p w14:paraId="018D6FAE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3、尺寸：铐体间距L：52～56mm；啮合三齿状态下最小孔径H：55±2mm、最大孔径：82±2mm；</w:t>
            </w:r>
          </w:p>
          <w:p w14:paraId="2A02059C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4、颜色：铐体为铄金色；扇梁为亚光银色；</w:t>
            </w:r>
          </w:p>
          <w:p w14:paraId="2A9DE945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5、灵活性：钥匙能从正、反两面插入锁孔解除反锁和开启手铐；能插入反锁定位锁孔实现手铐反锁，反锁定位拨片运行灵活、顺畅；扇梁转动灵活、无阻滞；</w:t>
            </w:r>
          </w:p>
          <w:p w14:paraId="070AD8DE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6、反锁定位：施加≥2500N静压力，不出现啮合松动货失效现象；</w:t>
            </w:r>
          </w:p>
          <w:p w14:paraId="462E81D8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7、防拨性能：≥2min；</w:t>
            </w:r>
          </w:p>
          <w:p w14:paraId="01381EB7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8、啮合强度：啮合牢固可靠，不被逆向拉开；</w:t>
            </w:r>
          </w:p>
          <w:p w14:paraId="60FF092D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▲9、静拉力：纵向≥3500N。横向≥3500N；</w:t>
            </w:r>
          </w:p>
          <w:p w14:paraId="330FF41E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10、固定连接件铆钉强度：≥6500N；</w:t>
            </w:r>
          </w:p>
          <w:p w14:paraId="0614F001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11、钥匙强度：对金属手铐的钥匙施加3Nm的扭矩,保持30s，试验后钥匙不应出现变形、断裂，且应符合灵活性的要求；</w:t>
            </w:r>
          </w:p>
          <w:p w14:paraId="6C480651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12、铐体强度：金属手铐在锁闭状态下,对铐体施加15Nm扭矩，保持30s，试验后铐体与扇梁不应脱离,应符合灵活性的要求；</w:t>
            </w:r>
          </w:p>
          <w:p w14:paraId="222734DC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▲13、耐用度：≥10000次；</w:t>
            </w:r>
          </w:p>
          <w:p w14:paraId="552390E5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14、耐腐蚀性：＞9级；</w:t>
            </w:r>
          </w:p>
          <w:p w14:paraId="507A8B24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15、跌落可靠性：将金属手铐分别以水平横放、链环朝上两只铐体垂直向下、链环垂直向下两只铐体朝上3种状态,自≥2.5m高度处自由跌落至水泥地面后,应符合要求；</w:t>
            </w:r>
          </w:p>
          <w:p w14:paraId="0838B7C7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★16、执行标准：《GA 1512-2018 公安单警装备 金属手铐》。</w:t>
            </w:r>
          </w:p>
          <w:p w14:paraId="02EEFCA7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须提供第三方机构出具的承检范围包括本投标产品的检验报告。</w:t>
            </w:r>
          </w:p>
        </w:tc>
      </w:tr>
      <w:tr w:rsidR="00AF00F8" w:rsidRPr="00AF00F8" w14:paraId="466C034C" w14:textId="77777777" w:rsidTr="00E81919">
        <w:trPr>
          <w:trHeight w:val="397"/>
        </w:trPr>
        <w:tc>
          <w:tcPr>
            <w:tcW w:w="1007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1E7D891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  <w:t>打“★"号条款为实质性条款，若有任何一条负偏离或不满足则导致响应无效。</w:t>
            </w:r>
          </w:p>
        </w:tc>
      </w:tr>
    </w:tbl>
    <w:p w14:paraId="38C76588" w14:textId="77777777" w:rsidR="00AF00F8" w:rsidRPr="00AF00F8" w:rsidRDefault="00AF00F8" w:rsidP="00AF00F8">
      <w:pPr>
        <w:spacing w:before="128" w:line="211" w:lineRule="auto"/>
        <w:ind w:left="392"/>
        <w:rPr>
          <w:rFonts w:ascii="宋体" w:eastAsia="宋体" w:hAnsi="宋体" w:cs="宋体" w:hint="eastAsia"/>
          <w:color w:val="auto"/>
          <w:spacing w:val="1"/>
          <w:sz w:val="19"/>
          <w:szCs w:val="19"/>
        </w:rPr>
      </w:pPr>
      <w:r w:rsidRPr="00AF00F8">
        <w:rPr>
          <w:rFonts w:ascii="宋体" w:eastAsia="宋体" w:hAnsi="宋体" w:cs="宋体"/>
          <w:color w:val="auto"/>
          <w:spacing w:val="2"/>
          <w:sz w:val="19"/>
          <w:szCs w:val="19"/>
        </w:rPr>
        <w:t>标的名称：</w:t>
      </w:r>
      <w:r w:rsidRPr="00AF00F8">
        <w:rPr>
          <w:rFonts w:ascii="宋体" w:eastAsia="宋体" w:hAnsi="宋体" w:cs="宋体" w:hint="eastAsia"/>
          <w:color w:val="auto"/>
          <w:spacing w:val="2"/>
          <w:sz w:val="19"/>
          <w:szCs w:val="19"/>
        </w:rPr>
        <w:t>警用伸缩警棍（基础型</w:t>
      </w:r>
    </w:p>
    <w:tbl>
      <w:tblPr>
        <w:tblStyle w:val="TableNormal"/>
        <w:tblpPr w:leftFromText="180" w:rightFromText="180" w:vertAnchor="text" w:horzAnchor="page" w:tblpX="1101" w:tblpY="220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1067"/>
        <w:gridCol w:w="7930"/>
      </w:tblGrid>
      <w:tr w:rsidR="00AF00F8" w:rsidRPr="00AF00F8" w14:paraId="252A55B8" w14:textId="77777777" w:rsidTr="00E81919">
        <w:trPr>
          <w:trHeight w:val="397"/>
        </w:trPr>
        <w:tc>
          <w:tcPr>
            <w:tcW w:w="1073" w:type="dxa"/>
            <w:tcBorders>
              <w:top w:val="single" w:sz="2" w:space="0" w:color="000000"/>
              <w:bottom w:val="single" w:sz="2" w:space="0" w:color="000000"/>
            </w:tcBorders>
          </w:tcPr>
          <w:p w14:paraId="548EF3F6" w14:textId="77777777" w:rsidR="00AF00F8" w:rsidRPr="00AF00F8" w:rsidRDefault="00AF00F8" w:rsidP="00E81919">
            <w:pPr>
              <w:spacing w:before="93" w:line="223" w:lineRule="auto"/>
              <w:ind w:left="98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3"/>
                <w:sz w:val="19"/>
                <w:szCs w:val="19"/>
              </w:rPr>
              <w:t>序</w:t>
            </w:r>
            <w:r w:rsidRPr="00AF00F8">
              <w:rPr>
                <w:rFonts w:ascii="宋体" w:eastAsia="宋体" w:hAnsi="宋体" w:cs="宋体"/>
                <w:color w:val="auto"/>
                <w:spacing w:val="-2"/>
                <w:sz w:val="19"/>
                <w:szCs w:val="19"/>
              </w:rPr>
              <w:t>号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14:paraId="0B32113E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-1"/>
                <w:sz w:val="19"/>
                <w:szCs w:val="19"/>
              </w:rPr>
              <w:t>参数性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质</w:t>
            </w:r>
          </w:p>
        </w:tc>
        <w:tc>
          <w:tcPr>
            <w:tcW w:w="7930" w:type="dxa"/>
            <w:tcBorders>
              <w:top w:val="single" w:sz="2" w:space="0" w:color="000000"/>
              <w:bottom w:val="single" w:sz="2" w:space="0" w:color="000000"/>
            </w:tcBorders>
          </w:tcPr>
          <w:p w14:paraId="1ACC2814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r w:rsidRPr="00AF00F8">
              <w:rPr>
                <w:rFonts w:ascii="宋体" w:eastAsia="宋体" w:hAnsi="宋体" w:cs="宋体"/>
                <w:color w:val="auto"/>
                <w:spacing w:val="1"/>
                <w:sz w:val="19"/>
                <w:szCs w:val="19"/>
              </w:rPr>
              <w:t>技术参数与性能指</w:t>
            </w:r>
            <w:r w:rsidRPr="00AF00F8">
              <w:rPr>
                <w:rFonts w:ascii="宋体" w:eastAsia="宋体" w:hAnsi="宋体" w:cs="宋体"/>
                <w:color w:val="auto"/>
                <w:sz w:val="19"/>
                <w:szCs w:val="19"/>
              </w:rPr>
              <w:t>标</w:t>
            </w:r>
          </w:p>
        </w:tc>
      </w:tr>
      <w:tr w:rsidR="00AF00F8" w:rsidRPr="00AF00F8" w14:paraId="6A1382CA" w14:textId="77777777" w:rsidTr="00E81919">
        <w:trPr>
          <w:trHeight w:val="397"/>
        </w:trPr>
        <w:tc>
          <w:tcPr>
            <w:tcW w:w="1073" w:type="dxa"/>
            <w:tcBorders>
              <w:top w:val="single" w:sz="2" w:space="0" w:color="000000"/>
              <w:bottom w:val="single" w:sz="2" w:space="0" w:color="000000"/>
            </w:tcBorders>
          </w:tcPr>
          <w:p w14:paraId="64272E23" w14:textId="77777777" w:rsidR="00AF00F8" w:rsidRPr="00AF00F8" w:rsidRDefault="00AF00F8" w:rsidP="00E81919">
            <w:pPr>
              <w:spacing w:before="93" w:line="223" w:lineRule="auto"/>
              <w:ind w:left="98"/>
              <w:rPr>
                <w:rFonts w:ascii="宋体" w:eastAsia="宋体" w:hAnsi="宋体" w:cs="宋体" w:hint="eastAsia"/>
                <w:color w:val="auto"/>
                <w:spacing w:val="-3"/>
                <w:sz w:val="19"/>
                <w:szCs w:val="19"/>
              </w:rPr>
            </w:pP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14:paraId="4E21DAB1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-1"/>
                <w:sz w:val="19"/>
                <w:szCs w:val="19"/>
              </w:rPr>
            </w:pPr>
          </w:p>
        </w:tc>
        <w:tc>
          <w:tcPr>
            <w:tcW w:w="7930" w:type="dxa"/>
            <w:tcBorders>
              <w:top w:val="single" w:sz="2" w:space="0" w:color="000000"/>
              <w:bottom w:val="single" w:sz="2" w:space="0" w:color="000000"/>
            </w:tcBorders>
          </w:tcPr>
          <w:p w14:paraId="03CF9A50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  <w:t>警用伸缩警棍（基础型技术参数要求</w:t>
            </w:r>
          </w:p>
          <w:p w14:paraId="4E5F92A7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1、结构：由小管组件、中管组件、握把组件和开关组件组成。</w:t>
            </w:r>
          </w:p>
          <w:p w14:paraId="4389F539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▲2、尺寸：伸展长度508±1mm，收回长度224±1.5mm，握把外径26.5±0.05mm；中管外径20.5±0.05mm，小管外径16±0.05mm；；</w:t>
            </w:r>
          </w:p>
          <w:p w14:paraId="1E915C68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3、颜色：金属件为亚光黑色，握把橡胶套为黑色；</w:t>
            </w:r>
          </w:p>
          <w:p w14:paraId="4992CD4F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4、重量：≤315g；</w:t>
            </w:r>
          </w:p>
          <w:p w14:paraId="1FDB2D23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5、伸缩性能：能通过手拉或甩动的方式顺畅伸展，各节棍体锁定稳固，按压解锁按键回推，能顺畅收回；</w:t>
            </w:r>
          </w:p>
          <w:p w14:paraId="365F5E99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6、防脱出性能：在收回状态下，对棍头施加5N轴向拉力，不应被拉出；</w:t>
            </w:r>
          </w:p>
          <w:p w14:paraId="03BCE6FB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7、伸缩可靠性：伸缩警棍伸展、收回为一个循环，分别用拉出伸展和甩动伸展循环≥6000次，能正常伸展和收回；</w:t>
            </w:r>
          </w:p>
          <w:p w14:paraId="00F5E508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8、轴向抗拉性能：伸缩警棍完全伸展并锁定状态下，对棍头施加轴向拉力至≥2500N,并保持 1min 后，应符合伸缩性能的要求；</w:t>
            </w:r>
          </w:p>
          <w:p w14:paraId="74602012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lastRenderedPageBreak/>
              <w:t>9、抗弯性能：伸缩警棍完全伸展并锁定状态下，对伸缩警棍的中管施加≥5000N 压力，并保持1min 后，应能正常伸展和收回；</w:t>
            </w:r>
          </w:p>
          <w:p w14:paraId="26BB4D46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▲10、耐击打性能：伸缩警棍完全伸展并锁定状态下，固定在专用击打试验机上，基础型伸缩警棍以3000N 击打力连续击打≥5000次，伸缩警棍不应断裂，棍头不脱落，应能正常伸展和收回；</w:t>
            </w:r>
          </w:p>
          <w:p w14:paraId="7A9049AC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▲11、耐极限击打：伸缩警棍完全伸展并锁定状态下，固定在专用击打试验机上，对钢制刀具进行击打，按 10000N±200N 击打力值进行试验，击打≥42次后伸缩警棍不断裂，棍头不应脱落，应能正常伸展和收回；</w:t>
            </w:r>
          </w:p>
          <w:p w14:paraId="0C67441F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▲12、握把橡胶套防脱性能：伸缩警棍在收回状态下，在警棍套中进行插拔试验＞20005次后，握把橡胶套应无卷边、翘起、鼓包、龟裂、移位等现象；</w:t>
            </w:r>
          </w:p>
          <w:p w14:paraId="70AD1DD2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▲13、跌落可靠性：伸缩警棍在完全伸展并锁定和收回状态下，以水平、正立、倒立3种姿态，从≥2m 高度自由跌落至水泥地面上，各试验8次，应符合伸缩性能的要求；</w:t>
            </w:r>
          </w:p>
          <w:p w14:paraId="3C5DE2D9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14、耐腐蚀性：10级；</w:t>
            </w:r>
          </w:p>
          <w:p w14:paraId="78D4657C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15、温度适应性：-40℃±2℃～60℃±2℃；</w:t>
            </w:r>
          </w:p>
          <w:p w14:paraId="07465144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★16、执行标准：《GA 886-2018公安单警装备  伸缩警棍》。</w:t>
            </w:r>
          </w:p>
          <w:p w14:paraId="2FA86410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1"/>
                <w:sz w:val="19"/>
                <w:szCs w:val="19"/>
              </w:rPr>
              <w:t>须提供第三方机构出具的承检范围包括本投标产品的检验报告。</w:t>
            </w:r>
          </w:p>
        </w:tc>
      </w:tr>
      <w:tr w:rsidR="00AF00F8" w:rsidRPr="00AF00F8" w14:paraId="13EBB499" w14:textId="77777777" w:rsidTr="00E81919">
        <w:trPr>
          <w:trHeight w:val="397"/>
        </w:trPr>
        <w:tc>
          <w:tcPr>
            <w:tcW w:w="1007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98D7C71" w14:textId="77777777" w:rsidR="00AF00F8" w:rsidRPr="00AF00F8" w:rsidRDefault="00AF00F8" w:rsidP="00E81919">
            <w:pPr>
              <w:spacing w:before="94" w:line="221" w:lineRule="auto"/>
              <w:ind w:left="96"/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</w:pPr>
            <w:r w:rsidRPr="00AF00F8">
              <w:rPr>
                <w:rFonts w:ascii="宋体" w:eastAsia="宋体" w:hAnsi="宋体" w:cs="宋体" w:hint="eastAsia"/>
                <w:color w:val="auto"/>
                <w:spacing w:val="2"/>
                <w:sz w:val="19"/>
                <w:szCs w:val="19"/>
              </w:rPr>
              <w:lastRenderedPageBreak/>
              <w:t>打“★"号条款为实质性条款，若有任何一条负偏离或不满足则导致响应无效。</w:t>
            </w:r>
          </w:p>
        </w:tc>
      </w:tr>
    </w:tbl>
    <w:p w14:paraId="7707E3E1" w14:textId="77777777" w:rsidR="005965C2" w:rsidRPr="00AF00F8" w:rsidRDefault="005965C2">
      <w:pPr>
        <w:rPr>
          <w:color w:val="auto"/>
        </w:rPr>
      </w:pPr>
    </w:p>
    <w:sectPr w:rsidR="005965C2" w:rsidRPr="00AF00F8" w:rsidSect="00AF00F8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561E0" w14:textId="77777777" w:rsidR="003D70B7" w:rsidRDefault="003D70B7" w:rsidP="00AF00F8">
      <w:r>
        <w:separator/>
      </w:r>
    </w:p>
  </w:endnote>
  <w:endnote w:type="continuationSeparator" w:id="0">
    <w:p w14:paraId="400BFA84" w14:textId="77777777" w:rsidR="003D70B7" w:rsidRDefault="003D70B7" w:rsidP="00AF0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AD107" w14:textId="77777777" w:rsidR="003D70B7" w:rsidRDefault="003D70B7" w:rsidP="00AF00F8">
      <w:r>
        <w:separator/>
      </w:r>
    </w:p>
  </w:footnote>
  <w:footnote w:type="continuationSeparator" w:id="0">
    <w:p w14:paraId="6EDAA3CE" w14:textId="77777777" w:rsidR="003D70B7" w:rsidRDefault="003D70B7" w:rsidP="00AF0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13"/>
    <w:rsid w:val="001B6F2E"/>
    <w:rsid w:val="003D70B7"/>
    <w:rsid w:val="005965C2"/>
    <w:rsid w:val="00AA520F"/>
    <w:rsid w:val="00AF00F8"/>
    <w:rsid w:val="00BE0E13"/>
    <w:rsid w:val="00E5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9A26367-AD13-4229-8BA6-9AF0B6A2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0F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E0E13"/>
    <w:pPr>
      <w:keepNext/>
      <w:keepLines/>
      <w:widowControl w:val="0"/>
      <w:kinsoku/>
      <w:autoSpaceDE/>
      <w:autoSpaceDN/>
      <w:adjustRightInd/>
      <w:snapToGrid/>
      <w:spacing w:before="480" w:after="80"/>
      <w:jc w:val="both"/>
      <w:textAlignment w:val="auto"/>
      <w:outlineLvl w:val="0"/>
    </w:pPr>
    <w:rPr>
      <w:rFonts w:asciiTheme="majorHAnsi" w:eastAsiaTheme="majorEastAsia" w:hAnsiTheme="majorHAnsi" w:cstheme="majorBidi"/>
      <w:noProof w:val="0"/>
      <w:snapToGrid/>
      <w:color w:val="0F4761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E13"/>
    <w:pPr>
      <w:keepNext/>
      <w:keepLines/>
      <w:widowControl w:val="0"/>
      <w:kinsoku/>
      <w:autoSpaceDE/>
      <w:autoSpaceDN/>
      <w:adjustRightInd/>
      <w:snapToGrid/>
      <w:spacing w:before="160" w:after="80"/>
      <w:jc w:val="both"/>
      <w:textAlignment w:val="auto"/>
      <w:outlineLvl w:val="1"/>
    </w:pPr>
    <w:rPr>
      <w:rFonts w:asciiTheme="majorHAnsi" w:eastAsiaTheme="majorEastAsia" w:hAnsiTheme="majorHAnsi" w:cstheme="majorBidi"/>
      <w:noProof w:val="0"/>
      <w:snapToGrid/>
      <w:color w:val="0F4761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0E13"/>
    <w:pPr>
      <w:keepNext/>
      <w:keepLines/>
      <w:widowControl w:val="0"/>
      <w:kinsoku/>
      <w:autoSpaceDE/>
      <w:autoSpaceDN/>
      <w:adjustRightInd/>
      <w:snapToGrid/>
      <w:spacing w:before="160" w:after="80"/>
      <w:jc w:val="both"/>
      <w:textAlignment w:val="auto"/>
      <w:outlineLvl w:val="2"/>
    </w:pPr>
    <w:rPr>
      <w:rFonts w:asciiTheme="majorHAnsi" w:eastAsiaTheme="majorEastAsia" w:hAnsiTheme="majorHAnsi" w:cstheme="majorBidi"/>
      <w:noProof w:val="0"/>
      <w:snapToGrid/>
      <w:color w:val="0F4761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0E13"/>
    <w:pPr>
      <w:keepNext/>
      <w:keepLines/>
      <w:widowControl w:val="0"/>
      <w:kinsoku/>
      <w:autoSpaceDE/>
      <w:autoSpaceDN/>
      <w:adjustRightInd/>
      <w:snapToGrid/>
      <w:spacing w:before="80" w:after="40"/>
      <w:jc w:val="both"/>
      <w:textAlignment w:val="auto"/>
      <w:outlineLvl w:val="3"/>
    </w:pPr>
    <w:rPr>
      <w:rFonts w:asciiTheme="minorHAnsi" w:hAnsiTheme="minorHAnsi" w:cstheme="majorBidi"/>
      <w:noProof w:val="0"/>
      <w:snapToGrid/>
      <w:color w:val="0F4761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0E13"/>
    <w:pPr>
      <w:keepNext/>
      <w:keepLines/>
      <w:widowControl w:val="0"/>
      <w:kinsoku/>
      <w:autoSpaceDE/>
      <w:autoSpaceDN/>
      <w:adjustRightInd/>
      <w:snapToGrid/>
      <w:spacing w:before="80" w:after="40"/>
      <w:jc w:val="both"/>
      <w:textAlignment w:val="auto"/>
      <w:outlineLvl w:val="4"/>
    </w:pPr>
    <w:rPr>
      <w:rFonts w:asciiTheme="minorHAnsi" w:hAnsiTheme="minorHAnsi" w:cstheme="majorBidi"/>
      <w:noProof w:val="0"/>
      <w:snapToGrid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0E13"/>
    <w:pPr>
      <w:keepNext/>
      <w:keepLines/>
      <w:widowControl w:val="0"/>
      <w:kinsoku/>
      <w:autoSpaceDE/>
      <w:autoSpaceDN/>
      <w:adjustRightInd/>
      <w:snapToGrid/>
      <w:spacing w:before="40"/>
      <w:jc w:val="both"/>
      <w:textAlignment w:val="auto"/>
      <w:outlineLvl w:val="5"/>
    </w:pPr>
    <w:rPr>
      <w:rFonts w:asciiTheme="minorHAnsi" w:hAnsiTheme="minorHAnsi" w:cstheme="majorBidi"/>
      <w:b/>
      <w:bCs/>
      <w:noProof w:val="0"/>
      <w:snapToGrid/>
      <w:color w:val="0F4761" w:themeColor="accent1" w:themeShade="BF"/>
      <w:kern w:val="2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E13"/>
    <w:pPr>
      <w:keepNext/>
      <w:keepLines/>
      <w:widowControl w:val="0"/>
      <w:kinsoku/>
      <w:autoSpaceDE/>
      <w:autoSpaceDN/>
      <w:adjustRightInd/>
      <w:snapToGrid/>
      <w:spacing w:before="40"/>
      <w:jc w:val="both"/>
      <w:textAlignment w:val="auto"/>
      <w:outlineLvl w:val="6"/>
    </w:pPr>
    <w:rPr>
      <w:rFonts w:asciiTheme="minorHAnsi" w:hAnsiTheme="minorHAnsi" w:cstheme="majorBidi"/>
      <w:b/>
      <w:bCs/>
      <w:noProof w:val="0"/>
      <w:snapToGrid/>
      <w:color w:val="595959" w:themeColor="text1" w:themeTint="A6"/>
      <w:kern w:val="2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0E13"/>
    <w:pPr>
      <w:keepNext/>
      <w:keepLines/>
      <w:widowControl w:val="0"/>
      <w:kinsoku/>
      <w:autoSpaceDE/>
      <w:autoSpaceDN/>
      <w:adjustRightInd/>
      <w:snapToGrid/>
      <w:jc w:val="both"/>
      <w:textAlignment w:val="auto"/>
      <w:outlineLvl w:val="7"/>
    </w:pPr>
    <w:rPr>
      <w:rFonts w:asciiTheme="minorHAnsi" w:hAnsiTheme="minorHAnsi" w:cstheme="majorBidi"/>
      <w:noProof w:val="0"/>
      <w:snapToGrid/>
      <w:color w:val="595959" w:themeColor="text1" w:themeTint="A6"/>
      <w:kern w:val="2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0E13"/>
    <w:pPr>
      <w:keepNext/>
      <w:keepLines/>
      <w:widowControl w:val="0"/>
      <w:kinsoku/>
      <w:autoSpaceDE/>
      <w:autoSpaceDN/>
      <w:adjustRightInd/>
      <w:snapToGrid/>
      <w:jc w:val="both"/>
      <w:textAlignment w:val="auto"/>
      <w:outlineLvl w:val="8"/>
    </w:pPr>
    <w:rPr>
      <w:rFonts w:asciiTheme="minorHAnsi" w:eastAsiaTheme="majorEastAsia" w:hAnsiTheme="minorHAnsi" w:cstheme="majorBidi"/>
      <w:noProof w:val="0"/>
      <w:snapToGrid/>
      <w:color w:val="595959" w:themeColor="text1" w:themeTint="A6"/>
      <w:kern w:val="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E0E1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E0E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E0E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E0E1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E0E1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E0E1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E0E1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E0E1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E0E1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E0E13"/>
    <w:pPr>
      <w:widowControl w:val="0"/>
      <w:kinsoku/>
      <w:autoSpaceDE/>
      <w:autoSpaceDN/>
      <w:adjustRightInd/>
      <w:snapToGri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noProof w:val="0"/>
      <w:snapToGrid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BE0E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0E13"/>
    <w:pPr>
      <w:widowControl w:val="0"/>
      <w:numPr>
        <w:ilvl w:val="1"/>
      </w:numPr>
      <w:kinsoku/>
      <w:autoSpaceDE/>
      <w:autoSpaceDN/>
      <w:adjustRightInd/>
      <w:snapToGrid/>
      <w:spacing w:after="160"/>
      <w:jc w:val="center"/>
      <w:textAlignment w:val="auto"/>
    </w:pPr>
    <w:rPr>
      <w:rFonts w:asciiTheme="majorHAnsi" w:eastAsiaTheme="majorEastAsia" w:hAnsiTheme="majorHAnsi" w:cstheme="majorBidi"/>
      <w:noProof w:val="0"/>
      <w:snapToGrid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BE0E1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0E13"/>
    <w:pPr>
      <w:widowControl w:val="0"/>
      <w:kinsoku/>
      <w:autoSpaceDE/>
      <w:autoSpaceDN/>
      <w:adjustRightInd/>
      <w:snapToGrid/>
      <w:spacing w:before="160" w:after="160"/>
      <w:jc w:val="center"/>
      <w:textAlignment w:val="auto"/>
    </w:pPr>
    <w:rPr>
      <w:rFonts w:asciiTheme="minorHAnsi" w:hAnsiTheme="minorHAnsi" w:cstheme="minorBidi"/>
      <w:i/>
      <w:iCs/>
      <w:noProof w:val="0"/>
      <w:snapToGrid/>
      <w:color w:val="404040" w:themeColor="text1" w:themeTint="BF"/>
      <w:kern w:val="2"/>
      <w:szCs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BE0E1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0E13"/>
    <w:pPr>
      <w:widowControl w:val="0"/>
      <w:kinsoku/>
      <w:autoSpaceDE/>
      <w:autoSpaceDN/>
      <w:adjustRightInd/>
      <w:snapToGrid/>
      <w:ind w:left="720"/>
      <w:contextualSpacing/>
      <w:jc w:val="both"/>
      <w:textAlignment w:val="auto"/>
    </w:pPr>
    <w:rPr>
      <w:rFonts w:asciiTheme="minorHAnsi" w:hAnsiTheme="minorHAnsi" w:cstheme="minorBidi"/>
      <w:noProof w:val="0"/>
      <w:snapToGrid/>
      <w:color w:val="auto"/>
      <w:kern w:val="2"/>
      <w:szCs w:val="22"/>
      <w14:ligatures w14:val="standardContextual"/>
    </w:rPr>
  </w:style>
  <w:style w:type="character" w:styleId="aa">
    <w:name w:val="Intense Emphasis"/>
    <w:basedOn w:val="a0"/>
    <w:uiPriority w:val="21"/>
    <w:qFormat/>
    <w:rsid w:val="00BE0E1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E0E13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kinsoku/>
      <w:autoSpaceDE/>
      <w:autoSpaceDN/>
      <w:adjustRightInd/>
      <w:snapToGrid/>
      <w:spacing w:before="360" w:after="360"/>
      <w:ind w:left="864" w:right="864"/>
      <w:jc w:val="center"/>
      <w:textAlignment w:val="auto"/>
    </w:pPr>
    <w:rPr>
      <w:rFonts w:asciiTheme="minorHAnsi" w:hAnsiTheme="minorHAnsi" w:cstheme="minorBidi"/>
      <w:i/>
      <w:iCs/>
      <w:noProof w:val="0"/>
      <w:snapToGrid/>
      <w:color w:val="0F4761" w:themeColor="accent1" w:themeShade="BF"/>
      <w:kern w:val="2"/>
      <w:szCs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BE0E1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E0E1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F00F8"/>
    <w:pPr>
      <w:widowControl w:val="0"/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cstheme="minorBidi"/>
      <w:noProof w:val="0"/>
      <w:snapToGrid/>
      <w:color w:val="auto"/>
      <w:kern w:val="2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AF00F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F00F8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cstheme="minorBidi"/>
      <w:noProof w:val="0"/>
      <w:snapToGrid/>
      <w:color w:val="auto"/>
      <w:kern w:val="2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AF00F8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AF00F8"/>
    <w:rPr>
      <w:rFonts w:ascii="Arial" w:hAnsi="Arial" w:cs="Arial"/>
      <w:snapToGrid w:val="0"/>
      <w:color w:val="000000"/>
      <w:kern w:val="0"/>
      <w:szCs w:val="21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Table Grid"/>
    <w:basedOn w:val="a1"/>
    <w:uiPriority w:val="39"/>
    <w:qFormat/>
    <w:rsid w:val="00AF00F8"/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nmcxzb4@163.com</dc:creator>
  <cp:keywords/>
  <dc:description/>
  <cp:lastModifiedBy>nmcxzb4@163.com</cp:lastModifiedBy>
  <cp:revision>3</cp:revision>
  <dcterms:created xsi:type="dcterms:W3CDTF">2025-11-03T08:13:00Z</dcterms:created>
  <dcterms:modified xsi:type="dcterms:W3CDTF">2025-11-03T08:26:00Z</dcterms:modified>
</cp:coreProperties>
</file>