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内蒙古自治区农畜产品销售共享前置仓项目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内蒙古自治区农牧厅</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内蒙古全信工程项目管理有限公司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NMGZCS-G-F-250027</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内蒙古全信工程项目管理有限公司</w:t>
      </w:r>
      <w:r>
        <w:rPr>
          <w:rFonts w:ascii="仿宋_GB2312" w:hAnsi="仿宋_GB2312" w:cs="仿宋_GB2312" w:eastAsia="仿宋_GB2312"/>
        </w:rPr>
        <w:t xml:space="preserve"> 受 </w:t>
      </w:r>
      <w:r>
        <w:rPr>
          <w:rFonts w:ascii="仿宋_GB2312" w:hAnsi="仿宋_GB2312" w:cs="仿宋_GB2312" w:eastAsia="仿宋_GB2312"/>
        </w:rPr>
        <w:t>内蒙古自治区农牧厅</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内蒙古自治区农畜产品销售共享前置仓项目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内蒙古自治区农畜产品销售共享前置仓项目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NMGZCS-G-F-250027</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内政采计划[2025]01192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14,300,000.00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共享前置仓</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14,300,000.00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内蒙古全信工程项目管理有限公司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内蒙古自治区呼和浩特市新城区成吉思汗大街华侨新村10号写字楼1508</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内蒙古全信工程项目管理有限公司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15049159502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内蒙古自治区农牧厅</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内蒙古自治区农牧厅</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白苏乐</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6652029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内蒙古自治区农牧厅</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内蒙古全信工程项目管理有限公司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针对当前内蒙古优质农畜产品在北京市市场销售面临的仓储网点分散、物流配送成本高、配送时效慢等短板，在前期充分调研的基础上，拟在北京市设置内蒙古自治区农畜产品销售共享前置仓，逐步建成统一的仓储、物流、分拣、配送等综合服务体系，促进农畜产品销售。 一、设置共享前置仓的必要性和效益 为健全内蒙古优质农畜产品在京销售物流保障体系，通过对北京市具备设置前置仓条件的仓储单位（园区）进行考察调研，经综合评估测算，在北京市设置共享前置仓，企业物流及仓储成本预计可节约40%左右，配送时间成本预计可节约1天左右。通过设置共享前置仓，有利于降低物流成本，提高供应时效，进一步拓宽内蒙古优质农畜产品在北京市的销售渠道，提升市场竞争力。 二、初步确定的共享前置仓基本情况 结合内蒙古自治区及北京市场实际需求，计划在北京市北部、南部各设置一个共享前置仓。 （一）北仓设置要求。计划在北京市顺义区牛栏山镇暨北京首都国际机场附近租赁前置仓，要距京沈线、京密高速、怀柔桥高速出口较近，大型重吨货车及外埠货车无通行限制，可同时满足常温仓与冷冻仓用户需求，拥有完善成熟的物业服务和物流配送体系。拟租赁面积（暂定）：常温仓库6000平米左右，冷冻仓库2000平米左右。 （二）南仓设置要求。计划在北京市房山区嘉民北京京南现代产业园租赁前置仓，要拥有完善成熟的物业服务和物流配送体系，紧邻京港澳高速，大型重吨货车及外埠货车无通行限制。拟租赁面积（暂定）：常温仓库2000平米左右，如需要可以改造建设冷藏库。 三、资金测算 经测算，北仓租赁常温仓库6000平米左右，冷冻仓库2000平米左右；南仓租赁常温仓库2000平米，南北仓一年租金共需953万元左右。按50%的比例补贴，一年需补贴476.5万元左右，按三年（2025-2027年）予以补贴，共需1430万元左右。 四、前置仓运营企业职责 采取公开招标方式确定共享前置仓运营企业，以市场化方式负责共享前置仓的运营管理： 1.负责制定前置仓运营管理细则，提供前置仓的管理、运营、维护、装卸、出入库等综合服务； 2.引入先进的库存管理系统，系统需具备条码扫描、库存预警、数据分析等功能，涵盖入库、存储、拣选、包装、出库等各个环节，实现库存数据的实时更新和精准管理，为入仓的企业提供优质综合服务； 3.与京东、顺丰等大型物流公司竞价，确定物流配送企业，建立完善高效的配送网络，提供一件代发服务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项目开始至项目结束</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北京市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1、签订合同后60日内支付合同金额50%，达到付款条件起60日，支付合同总金额的50.00%</w:t>
            </w:r>
          </w:p>
          <w:p>
            <w:pPr>
              <w:pStyle w:val="null5"/>
              <w:jc w:val="left"/>
            </w:pPr>
            <w:r>
              <w:rPr>
                <w:rFonts w:ascii="仿宋_GB2312" w:hAnsi="仿宋_GB2312" w:cs="仿宋_GB2312" w:eastAsia="仿宋_GB2312"/>
              </w:rPr>
              <w:t>2、服务期第1年，12月底按照全年实际租赁面积情况，经评分验收后60日内据实支付当年剩余补贴资金。（注：按照运营管理考核评分表进行打分支付，考核分为90分及以上全部支付剩余补贴资金；考核分85-89分支付当年剩余补贴资金的95%；考核分80-84分支付当年剩余补贴资金的90%；考核分75-79分支付当年剩余补贴资金的85%；考核分74分及以下支付当年剩余补贴资金的80%。），达到付款条件起60日，支付合同总金额的15.00%</w:t>
            </w:r>
          </w:p>
          <w:p>
            <w:pPr>
              <w:pStyle w:val="null5"/>
              <w:jc w:val="left"/>
            </w:pPr>
            <w:r>
              <w:rPr>
                <w:rFonts w:ascii="仿宋_GB2312" w:hAnsi="仿宋_GB2312" w:cs="仿宋_GB2312" w:eastAsia="仿宋_GB2312"/>
              </w:rPr>
              <w:t>3、服务期第2年同第1年，达到付款条件起60日，支付合同总金额的15.00%</w:t>
            </w:r>
          </w:p>
          <w:p>
            <w:pPr>
              <w:pStyle w:val="null5"/>
              <w:jc w:val="left"/>
            </w:pPr>
            <w:r>
              <w:rPr>
                <w:rFonts w:ascii="仿宋_GB2312" w:hAnsi="仿宋_GB2312" w:cs="仿宋_GB2312" w:eastAsia="仿宋_GB2312"/>
              </w:rPr>
              <w:t>4、服务期第3年，12月底前按照实际租赁面积情况支付补贴资金（如实际租赁面积超合同面积，将申请追加补贴资金），经评分验收后60日内据实支付。（注：按照运营管理考核评分表进行打分支付，考核分为90分及以上全部支付剩余补贴资金；考核分85-89分支付当年剩余补贴资金的95%；考核分80-84分支付当年剩余补贴资金的90%；考核分75-79分支付当年剩余补贴资金的85%；考核分74分及以下支付当年剩余补贴资金的80%。），达到付款条件起60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标的名称：共享前置仓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7"/>
              <w:gridCol w:w="214"/>
              <w:gridCol w:w="566"/>
              <w:gridCol w:w="105"/>
              <w:gridCol w:w="934"/>
              <w:gridCol w:w="150"/>
              <w:gridCol w:w="131"/>
              <w:gridCol w:w="131"/>
              <w:gridCol w:w="150"/>
            </w:tblGrid>
            <w:tr>
              <w:tc>
                <w:tcPr>
                  <w:tcW w:type="dxa" w:w="25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36"/>
                      <w:color w:val="000000"/>
                    </w:rPr>
                    <w:t>运营管理考核评分表</w:t>
                  </w:r>
                </w:p>
                <w:p>
                  <w:pPr>
                    <w:pStyle w:val="null5"/>
                    <w:jc w:val="left"/>
                  </w:pPr>
                </w:p>
              </w:tc>
            </w:tr>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序号</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考核指标</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考核内容</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分值</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考核细则</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考核情况</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自评分</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考评分</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color w:val="000000"/>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组织机构及制度管理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组织机构健全，各项制度、流程管理规范，不断进行修订和汇编</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15分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1.1 组织机构健全；（满分3分）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1.2 制定了相应的规章制度、职责和考核办法；（满分3分）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1.3 绘制了清晰、细致、高效、集中的管理流程图表；（满分3分）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1.4 进行法律法规、规章制度、职责、流程图表的研究学习以及修订与汇编；（满分3分）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1.5 严格执行各项规章制度制定和修改的审批制度。（满分3分）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工作计划及考核管理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制定全面的工作计划，并分解落实各项工作，在开展的过程中根据实际情况进行适当调整。</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8分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2.1 制定年度运营工作计划，工作计划中目标和时间明确，并分解落实责任人以及制定月度工作计划；（满分3分）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2.2 在工作的正常开展过程中根据需要对计划进行调整；（满分3分）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2.3 对年度工作计划进行总结分析。（满分2分）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3</w:t>
                  </w:r>
                </w:p>
              </w:tc>
              <w:tc>
                <w:tcPr>
                  <w:tcW w:type="dxa" w:w="2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行业管理及客户评价</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提高行业管理及客户满意度等工作。</w:t>
                  </w:r>
                </w:p>
              </w:tc>
              <w:tc>
                <w:tcPr>
                  <w:tcW w:type="dxa" w:w="1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10分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3.1 服从地方和行业的管理，根据管理规定修改完善管理制度；（满分3分）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3.2 对地方、行业管理与企业有冲突的问题及时上报并制定相应的解决方案；（满分3分）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3.3 制定客户满意度调查情况。（满分4分）</w:t>
                  </w:r>
                </w:p>
              </w:tc>
              <w:tc>
                <w:tcPr>
                  <w:tcW w:type="dxa" w:w="1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4</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运营管理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spacing w:after="180"/>
                    <w:jc w:val="center"/>
                  </w:pPr>
                  <w:r>
                    <w:br/>
                  </w:r>
                  <w:r>
                    <w:rPr>
                      <w:rFonts w:ascii="仿宋_GB2312" w:hAnsi="仿宋_GB2312" w:cs="仿宋_GB2312" w:eastAsia="仿宋_GB2312"/>
                      <w:sz w:val="18"/>
                      <w:color w:val="000000"/>
                    </w:rPr>
                    <w:t>制定管理细则，做好人员培训，更新软硬件。</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24分</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4.1 制定前置仓运营管理细则，提供前置仓的管理、运营、维护、装卸、出入库等综合服务。（满分3分）</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4.2 拟定人员的招聘方案，并做好相关培训工作；（满分3分）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4.3 引入先进的库存管理系统，系统需具备条码扫描、库存预警、数据分析等功能，涵盖入库、存储、拣选、包装、出库等各个环节，实现库存数据的实时更新和精准管理，为入仓的企业提供优质综合服务；（满分10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4.4 负责完善更新硬件配置和软件服务配套设施；（满分3分）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4.5 团队能力与执行效率；（满分5分）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5</w:t>
                  </w:r>
                </w:p>
              </w:tc>
              <w:tc>
                <w:tcPr>
                  <w:tcW w:type="dxa" w:w="2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销售管理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提高销售管理及销售渠道</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10分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5.1 与京东、顺丰等大型物流公司竞价，确定物流配送企业，建立完善高效的配送网络，提供一件代发服务，降低物流配送成本，确保订单能够及时从前置仓发出并送达消费者手中。（满分5分）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5.2 采取“仓、展、销一体化营销”等方式，拓宽内蒙古优质农畜产品线上线下销售渠道。（满分5分）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color w:val="000000"/>
                    </w:rPr>
                    <w:t>销售目标</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8分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完成合同签订中的销售目标（满分</w:t>
                  </w:r>
                  <w:r>
                    <w:rPr>
                      <w:rFonts w:ascii="仿宋_GB2312" w:hAnsi="仿宋_GB2312" w:cs="仿宋_GB2312" w:eastAsia="仿宋_GB2312"/>
                      <w:sz w:val="18"/>
                      <w:color w:val="000000"/>
                    </w:rPr>
                    <w:t>8分）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风险管理与应急预案</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对风险管理与应急预案的管理</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5分</w:t>
                  </w:r>
                </w:p>
              </w:tc>
              <w:tc>
                <w:tcPr>
                  <w:tcW w:type="dxa" w:w="9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6.1 制定公共事件处理应急预案及突发事件和灾害的抢修应急方案；（满分5分）</w:t>
                  </w:r>
                </w:p>
              </w:tc>
              <w:tc>
                <w:tcPr>
                  <w:tcW w:type="dxa" w:w="1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7</w:t>
                  </w:r>
                </w:p>
              </w:tc>
              <w:tc>
                <w:tcPr>
                  <w:tcW w:type="dxa" w:w="2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沟通能力</w:t>
                  </w:r>
                </w:p>
              </w:tc>
              <w:tc>
                <w:tcPr>
                  <w:tcW w:type="dxa" w:w="5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与参与各方的沟通能力</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10分</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7.1 做好公共区、业务区、办公区、停车区、广告业务等的监督管理工作；（满分3分）</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6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7.2 未发生政府及行业主管部门进行的警告批评或经济处罚。（满分5分）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6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7.3 未因管理不善造成其他影响与损失。（满分2分）</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8</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宣传推广</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对宣传推广的力度</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color w:val="000000"/>
                    </w:rPr>
                    <w:t>10分</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8"/>
                      <w:color w:val="000000"/>
                    </w:rPr>
                    <w:t>制定</w:t>
                  </w:r>
                  <w:r>
                    <w:rPr>
                      <w:rFonts w:ascii="仿宋_GB2312" w:hAnsi="仿宋_GB2312" w:cs="仿宋_GB2312" w:eastAsia="仿宋_GB2312"/>
                      <w:sz w:val="18"/>
                      <w:color w:val="000000"/>
                    </w:rPr>
                    <w:t>线上宣传</w:t>
                  </w:r>
                  <w:r>
                    <w:rPr>
                      <w:rFonts w:ascii="仿宋_GB2312" w:hAnsi="仿宋_GB2312" w:cs="仿宋_GB2312" w:eastAsia="仿宋_GB2312"/>
                      <w:sz w:val="18"/>
                      <w:color w:val="000000"/>
                    </w:rPr>
                    <w:t>、线下宣传</w:t>
                  </w:r>
                  <w:r>
                    <w:rPr>
                      <w:rFonts w:ascii="仿宋_GB2312" w:hAnsi="仿宋_GB2312" w:cs="仿宋_GB2312" w:eastAsia="仿宋_GB2312"/>
                      <w:sz w:val="18"/>
                      <w:color w:val="000000"/>
                    </w:rPr>
                    <w:t>方案并开展积极有效的宣传工作，扩大内蒙古农畜产品知名度。（满分</w:t>
                  </w:r>
                  <w:r>
                    <w:rPr>
                      <w:rFonts w:ascii="仿宋_GB2312" w:hAnsi="仿宋_GB2312" w:cs="仿宋_GB2312" w:eastAsia="仿宋_GB2312"/>
                      <w:sz w:val="18"/>
                      <w:color w:val="000000"/>
                    </w:rPr>
                    <w:t>10分）</w:t>
                  </w:r>
                  <w:r>
                    <w:br/>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报价得分20.00分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服务方案内容具体、工作依据清晰、各项目标明确、工作方法及计划程序合理可行得10-7（不含）分；基本满足采购文件要求的7-4（不含）分；内容有缺项或不合理得4-1分进行评价，未提供不得分。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进度计划及控制措施</w:t>
            </w:r>
          </w:p>
        </w:tc>
        <w:tc>
          <w:tcPr>
            <w:tcW w:type="dxa" w:w="3115"/>
          </w:tcPr>
          <w:p>
            <w:pPr>
              <w:pStyle w:val="null5"/>
              <w:jc w:val="left"/>
            </w:pPr>
            <w:r>
              <w:rPr>
                <w:rFonts w:ascii="仿宋_GB2312" w:hAnsi="仿宋_GB2312" w:cs="仿宋_GB2312" w:eastAsia="仿宋_GB2312"/>
              </w:rPr>
              <w:t>工作进度安排合理、进度控制措施完善、可行性强得10-7（不含）分；工作进度安排基本合理、进度控制措施基本可行得7-4（不含）分；工作进度安排不合理，进度控制措施可行性较差得4-1分，未提供不得分。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质量管理及保障措施</w:t>
            </w:r>
          </w:p>
        </w:tc>
        <w:tc>
          <w:tcPr>
            <w:tcW w:type="dxa" w:w="3115"/>
          </w:tcPr>
          <w:p>
            <w:pPr>
              <w:pStyle w:val="null5"/>
              <w:jc w:val="left"/>
            </w:pPr>
            <w:r>
              <w:rPr>
                <w:rFonts w:ascii="仿宋_GB2312" w:hAnsi="仿宋_GB2312" w:cs="仿宋_GB2312" w:eastAsia="仿宋_GB2312"/>
              </w:rPr>
              <w:t>质量保障体系健全、质量目标分解规划合理，质量控制措施具体、可行性强、控制手段科学完善得10-7（不含）分；质量保障体系全面、目标分解基本合理，控制措施具体，有一定的可行性，控制手段科学得7-4（不含）分；内容有缺项或不合理，控制措施不够具体，可行性较差得4-1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应急保障方案</w:t>
            </w:r>
          </w:p>
        </w:tc>
        <w:tc>
          <w:tcPr>
            <w:tcW w:type="dxa" w:w="3115"/>
          </w:tcPr>
          <w:p>
            <w:pPr>
              <w:pStyle w:val="null5"/>
              <w:jc w:val="left"/>
            </w:pPr>
            <w:r>
              <w:rPr>
                <w:rFonts w:ascii="仿宋_GB2312" w:hAnsi="仿宋_GB2312" w:cs="仿宋_GB2312" w:eastAsia="仿宋_GB2312"/>
              </w:rPr>
              <w:t>应急保障方案完善详细、可行，具有针对性的得10-7（不含）分；应急保障方案基本完善、针对性一般的得7-4（不含）分；应急保障方案不完善，针对性较差的得4-1分。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项目人员配备情况</w:t>
            </w:r>
          </w:p>
        </w:tc>
        <w:tc>
          <w:tcPr>
            <w:tcW w:type="dxa" w:w="3115"/>
          </w:tcPr>
          <w:p>
            <w:pPr>
              <w:pStyle w:val="null5"/>
              <w:jc w:val="left"/>
            </w:pPr>
            <w:r>
              <w:rPr>
                <w:rFonts w:ascii="仿宋_GB2312" w:hAnsi="仿宋_GB2312" w:cs="仿宋_GB2312" w:eastAsia="仿宋_GB2312"/>
              </w:rPr>
              <w:t>人员配备齐全、分工明确得10-5（不含）分；人员配备不齐全、分工不够明确得5-1分，未提供不得分。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设备配备情况</w:t>
            </w:r>
          </w:p>
        </w:tc>
        <w:tc>
          <w:tcPr>
            <w:tcW w:type="dxa" w:w="3115"/>
          </w:tcPr>
          <w:p>
            <w:pPr>
              <w:pStyle w:val="null5"/>
              <w:jc w:val="left"/>
            </w:pPr>
            <w:r>
              <w:rPr>
                <w:rFonts w:ascii="仿宋_GB2312" w:hAnsi="仿宋_GB2312" w:cs="仿宋_GB2312" w:eastAsia="仿宋_GB2312"/>
              </w:rPr>
              <w:t>为保证服务达标所配备的设备、设施、耗材、质量等硬件条件和耗材情况完善、合理、科学可行得10-7（不含）分；配备情况基本完善、合理、科学可行性一般得7-4（不含）分；配备情况不完善、合理、科学可行行较差得4-1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安全防护措施</w:t>
            </w:r>
          </w:p>
        </w:tc>
        <w:tc>
          <w:tcPr>
            <w:tcW w:type="dxa" w:w="3115"/>
          </w:tcPr>
          <w:p>
            <w:pPr>
              <w:pStyle w:val="null5"/>
              <w:jc w:val="left"/>
            </w:pPr>
            <w:r>
              <w:rPr>
                <w:rFonts w:ascii="仿宋_GB2312" w:hAnsi="仿宋_GB2312" w:cs="仿宋_GB2312" w:eastAsia="仿宋_GB2312"/>
              </w:rPr>
              <w:t>安全防护措施健全、完善、合理、可行的得10-7（不含）分；基本健全、完善、合理、可行的得7-4（不含）分；不够健全、完善、合理、可行性较差得4-1分，未提供不得分。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公司业绩</w:t>
            </w:r>
          </w:p>
        </w:tc>
        <w:tc>
          <w:tcPr>
            <w:tcW w:type="dxa" w:w="3115"/>
          </w:tcPr>
          <w:p>
            <w:pPr>
              <w:pStyle w:val="null5"/>
              <w:jc w:val="left"/>
            </w:pPr>
            <w:r>
              <w:rPr>
                <w:rFonts w:ascii="仿宋_GB2312" w:hAnsi="仿宋_GB2312" w:cs="仿宋_GB2312" w:eastAsia="仿宋_GB2312"/>
              </w:rPr>
              <w:t>根据供应商2022年01月至今类似的项目业绩，每提供一份得2分，最多得6分。 注：须提供合同或中标通知书，时间以签订合同时间为准。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拟派项目负责人具有物流方面相关业绩，且持有物流管理类资格证书。最多得2分，未提供不得分。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项目服务人员</w:t>
            </w:r>
          </w:p>
        </w:tc>
        <w:tc>
          <w:tcPr>
            <w:tcW w:type="dxa" w:w="3115"/>
          </w:tcPr>
          <w:p>
            <w:pPr>
              <w:pStyle w:val="null5"/>
              <w:jc w:val="left"/>
            </w:pPr>
            <w:r>
              <w:rPr>
                <w:rFonts w:ascii="仿宋_GB2312" w:hAnsi="仿宋_GB2312" w:cs="仿宋_GB2312" w:eastAsia="仿宋_GB2312"/>
              </w:rPr>
              <w:t>拟派项目组服务人员（除项目负责人），每提供一个物流管理类资格证书得1分，最高得2分。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