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2025年绿化养护服务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内蒙古建筑职业技术学院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内蒙古自治区公共资源交易中心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NMGZC-G-F-250023</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内蒙古自治区公共资源交易中心</w:t>
      </w:r>
      <w:r>
        <w:rPr>
          <w:rFonts w:ascii="仿宋_GB2312" w:hAnsi="仿宋_GB2312" w:cs="仿宋_GB2312" w:eastAsia="仿宋_GB2312"/>
        </w:rPr>
        <w:t xml:space="preserve"> 受 </w:t>
      </w:r>
      <w:r>
        <w:rPr>
          <w:rFonts w:ascii="仿宋_GB2312" w:hAnsi="仿宋_GB2312" w:cs="仿宋_GB2312" w:eastAsia="仿宋_GB2312"/>
        </w:rPr>
        <w:t>内蒙古建筑职业技术学院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2025年绿化养护服务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2025年绿化养护服务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NMGZC-G-F-250023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内政采计划[2025]01929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2,654,590.00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2025年绿化养护服务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2,654,590.00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内蒙古自治区公共资源交易中心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内蒙古自治区呼和浩特市赛罕区内蒙古呼和浩特市赛罕区敕勒川大街6号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010055</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乌日图</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0471-4864832 质疑联系人：阮佳0471-5332613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内蒙古建筑职业技术学院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内蒙古自治区呼和浩特市回民区青少年生态园南侧</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孙亚菲</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0471-6604676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内蒙古建筑职业技术学院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内蒙古自治区公共资源交易中心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审查投标人2023年度或2024年度经会计师事务所出具的财务审计报告或其基本开户银行出具的近一年内的银行资信证明或具有良好的商业信誉和健全的财务会计制度的承诺书（格式自拟）。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1.提供递交投标文件截止时间前6个月内（至少一个月）的良好缴纳税收的相关凭据（以税务机关提供的纳税凭据或银行入账单为准）或具有依法缴纳税收的良好记录的承诺函（格式自拟）。 2.提供递交投标文件截止时间前6个月内（至少一个月）缴纳社会保险的凭证（以专用收据或社会保险缴纳清单为准）或具有依法缴纳社会保障资金的良好记录的承诺函（格式自拟）。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审查投标人出具的“具有履行合同所必须的设备和专业技术能力的承诺书（格式自拟）。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审查投标人参加政府采购前三年内在经营活动中无重大违法记录书面声明。 注： ①重大违法记录是指投标人因违法经营受到刑事处罚或者责令停产停业、吊销许可证或者执照、较大数额罚款等行政处罚。投标人在参加政府采购活动前3年内因违法经营被禁止在一定期限内参加政府采购活动，期限届满的，可以参加政府采购活动。 ②重大违法记录中的较大数额罚款的具体金额标准及范围是：根据财库〔2022〕3号文件关于“较大数额罚款”认定为200万元以上的罚款，法律、行政法规以及国务院有关部门明确规定相关领域“较大数额罚款”标准高于200万元的，从其规定。</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本采购包属于专门面向小微企业采购。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本项目服务工程量详见附件，服务内容为2025年浇灌返青水、浇灌二次透水、浇水、除草、修剪、防虫、清落叶等绿化养护。</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合同签订之日起275日历天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内蒙古建筑职业技术学院（生态校区）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1、4月，完成浇灌返青水、浇灌二次透水、除草、修剪、防虫、清落叶等服务内容且验收合格后，达到付款条件起40日，支付合同总金额的5.00%</w:t>
            </w:r>
          </w:p>
          <w:p>
            <w:pPr>
              <w:pStyle w:val="null5"/>
              <w:jc w:val="left"/>
            </w:pPr>
            <w:r>
              <w:rPr>
                <w:rFonts w:ascii="仿宋_GB2312" w:hAnsi="仿宋_GB2312" w:cs="仿宋_GB2312" w:eastAsia="仿宋_GB2312"/>
              </w:rPr>
              <w:t>2、5月，完成浇灌二次透水、施春肥、除草、修剪、防虫、清落叶等服务内容且验收合格后，达到付款条件起40日，支付合同总金额的5.00%</w:t>
            </w:r>
          </w:p>
          <w:p>
            <w:pPr>
              <w:pStyle w:val="null5"/>
              <w:jc w:val="left"/>
            </w:pPr>
            <w:r>
              <w:rPr>
                <w:rFonts w:ascii="仿宋_GB2312" w:hAnsi="仿宋_GB2312" w:cs="仿宋_GB2312" w:eastAsia="仿宋_GB2312"/>
              </w:rPr>
              <w:t>3、6月，完成浇灌二次透水、除草、修剪、防虫、清落叶等服务内容且验收合格后，达到付款条件起40日，支付合同总金额的10.00%</w:t>
            </w:r>
          </w:p>
          <w:p>
            <w:pPr>
              <w:pStyle w:val="null5"/>
              <w:jc w:val="left"/>
            </w:pPr>
            <w:r>
              <w:rPr>
                <w:rFonts w:ascii="仿宋_GB2312" w:hAnsi="仿宋_GB2312" w:cs="仿宋_GB2312" w:eastAsia="仿宋_GB2312"/>
              </w:rPr>
              <w:t>4、7月，完成浇灌二次透水、除草、修剪、防虫、清落叶、防风等服务内容且验收合格后，达到付款条件起40日，支付合同总金额的10.00%</w:t>
            </w:r>
          </w:p>
          <w:p>
            <w:pPr>
              <w:pStyle w:val="null5"/>
              <w:jc w:val="left"/>
            </w:pPr>
            <w:r>
              <w:rPr>
                <w:rFonts w:ascii="仿宋_GB2312" w:hAnsi="仿宋_GB2312" w:cs="仿宋_GB2312" w:eastAsia="仿宋_GB2312"/>
              </w:rPr>
              <w:t>5、8月，完成浇水、除草、修剪、防虫、清落叶等服务内容且验收合格后，达到付款条件起40日，支付合同总金额的20.00%</w:t>
            </w:r>
          </w:p>
          <w:p>
            <w:pPr>
              <w:pStyle w:val="null5"/>
              <w:jc w:val="left"/>
            </w:pPr>
            <w:r>
              <w:rPr>
                <w:rFonts w:ascii="仿宋_GB2312" w:hAnsi="仿宋_GB2312" w:cs="仿宋_GB2312" w:eastAsia="仿宋_GB2312"/>
              </w:rPr>
              <w:t>6、9月，完成浇水、除草、修剪、防虫、清落叶等服务内容且验收合格后，达到付款条件起40日，支付合同总金额的20.00%</w:t>
            </w:r>
          </w:p>
          <w:p>
            <w:pPr>
              <w:pStyle w:val="null5"/>
              <w:jc w:val="left"/>
            </w:pPr>
            <w:r>
              <w:rPr>
                <w:rFonts w:ascii="仿宋_GB2312" w:hAnsi="仿宋_GB2312" w:cs="仿宋_GB2312" w:eastAsia="仿宋_GB2312"/>
              </w:rPr>
              <w:t>7、10月，完成浇水、除草、修剪、防虫、清落叶、施秋肥等服务内容且验收合格后，达到付款条件起40日，支付合同总金额的10.00%</w:t>
            </w:r>
          </w:p>
          <w:p>
            <w:pPr>
              <w:pStyle w:val="null5"/>
              <w:jc w:val="left"/>
            </w:pPr>
            <w:r>
              <w:rPr>
                <w:rFonts w:ascii="仿宋_GB2312" w:hAnsi="仿宋_GB2312" w:cs="仿宋_GB2312" w:eastAsia="仿宋_GB2312"/>
              </w:rPr>
              <w:t>8、11月，完成浇水、除草、修剪、防虫、清落叶、防寒、刷白等服务内容且验收合格后，达到付款条件起40日，支付合同总金额的10.00%</w:t>
            </w:r>
          </w:p>
          <w:p>
            <w:pPr>
              <w:pStyle w:val="null5"/>
              <w:jc w:val="left"/>
            </w:pPr>
            <w:r>
              <w:rPr>
                <w:rFonts w:ascii="仿宋_GB2312" w:hAnsi="仿宋_GB2312" w:cs="仿宋_GB2312" w:eastAsia="仿宋_GB2312"/>
              </w:rPr>
              <w:t>9、12月，完成防寒、浇透冻水、清落叶等服务内容且验收合格后，达到付款条件起40日，支付合同总金额的10.00%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标的名称：2025年绿化养护服务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color w:val="000000"/>
              </w:rPr>
              <w:t>★1、供应商需安排不少于28人的服务团队。</w:t>
            </w:r>
          </w:p>
          <w:p>
            <w:pPr>
              <w:pStyle w:val="null5"/>
              <w:jc w:val="left"/>
            </w:pPr>
            <w:r>
              <w:rPr>
                <w:rFonts w:ascii="仿宋_GB2312" w:hAnsi="仿宋_GB2312" w:cs="仿宋_GB2312" w:eastAsia="仿宋_GB2312"/>
                <w:sz w:val="28"/>
                <w:color w:val="000000"/>
              </w:rPr>
              <w:t>2、供应商需自行配备履行合同所需的设备仪器。</w:t>
            </w:r>
          </w:p>
          <w:p>
            <w:pPr>
              <w:pStyle w:val="null5"/>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供应商报价需包含</w:t>
            </w:r>
            <w:r>
              <w:rPr>
                <w:rFonts w:ascii="仿宋_GB2312" w:hAnsi="仿宋_GB2312" w:cs="仿宋_GB2312" w:eastAsia="仿宋_GB2312"/>
                <w:sz w:val="28"/>
                <w:color w:val="000000"/>
              </w:rPr>
              <w:t>项目实施服务人员工资福利保险、服务人员服务过程中及服务内容之外的意外伤害赔偿、拟投入设备</w:t>
            </w:r>
            <w:r>
              <w:rPr>
                <w:rFonts w:ascii="仿宋_GB2312" w:hAnsi="仿宋_GB2312" w:cs="仿宋_GB2312" w:eastAsia="仿宋_GB2312"/>
                <w:sz w:val="28"/>
                <w:color w:val="000000"/>
              </w:rPr>
              <w:t>、业务培训、租用车辆等一切相关经费，采购</w:t>
            </w:r>
            <w:r>
              <w:rPr>
                <w:rFonts w:ascii="仿宋_GB2312" w:hAnsi="仿宋_GB2312" w:cs="仿宋_GB2312" w:eastAsia="仿宋_GB2312"/>
                <w:sz w:val="28"/>
                <w:color w:val="000000"/>
              </w:rPr>
              <w:t>人</w:t>
            </w:r>
            <w:r>
              <w:rPr>
                <w:rFonts w:ascii="仿宋_GB2312" w:hAnsi="仿宋_GB2312" w:cs="仿宋_GB2312" w:eastAsia="仿宋_GB2312"/>
                <w:sz w:val="28"/>
                <w:color w:val="000000"/>
              </w:rPr>
              <w:t>不作额外费用的支付。</w:t>
            </w:r>
          </w:p>
          <w:p>
            <w:pPr>
              <w:pStyle w:val="null5"/>
              <w:jc w:val="left"/>
            </w:pPr>
            <w:r>
              <w:rPr>
                <w:rFonts w:ascii="仿宋_GB2312" w:hAnsi="仿宋_GB2312" w:cs="仿宋_GB2312" w:eastAsia="仿宋_GB2312"/>
                <w:sz w:val="28"/>
                <w:color w:val="000000"/>
              </w:rPr>
              <w:t>4、绿地面貌整齐、干净，景观效果好，整体感观好。养护植物生长旺盛，层次分明、色彩鲜艳、整齐美观、无死株缺株、无病虫株。绿植修剪规范整齐，及时剪除病死枝，分枝合理均匀，边角无遗留，草屑及时扫尽运出。下沉式树圈整洁无杂草。绿化养护技术措施完善，管理得当，植物配置科学合理，生长健壮。病虫害控制及时，落叶扫除及时，树木无积尘现象。应根据气候特点和实际情况，适时适量做好浇水、施肥、除草、防虫等养护工作，促其正常生长。</w:t>
            </w:r>
          </w:p>
          <w:p>
            <w:pPr>
              <w:pStyle w:val="null5"/>
              <w:jc w:val="left"/>
            </w:pPr>
            <w:r>
              <w:rPr>
                <w:rFonts w:ascii="仿宋_GB2312" w:hAnsi="仿宋_GB2312" w:cs="仿宋_GB2312" w:eastAsia="仿宋_GB2312"/>
                <w:sz w:val="28"/>
                <w:color w:val="000000"/>
              </w:rPr>
              <w:t>5、具体服务内容详见附件。</w:t>
            </w:r>
          </w:p>
          <w:p>
            <w:pPr>
              <w:pStyle w:val="null5"/>
              <w:jc w:val="left"/>
            </w:pPr>
            <w:r>
              <w:rPr>
                <w:rFonts w:ascii="仿宋_GB2312" w:hAnsi="仿宋_GB2312" w:cs="仿宋_GB2312" w:eastAsia="仿宋_GB2312"/>
                <w:sz w:val="28"/>
                <w:color w:val="000000"/>
              </w:rPr>
              <w:t>打“★”号条款为实质性条款，若有任何一条负偏离或不满足则导致投标无效。</w:t>
            </w:r>
          </w:p>
          <w:p>
            <w:pPr>
              <w:pStyle w:val="null5"/>
              <w:jc w:val="left"/>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项目需求分析</w:t>
            </w:r>
          </w:p>
        </w:tc>
        <w:tc>
          <w:tcPr>
            <w:tcW w:type="dxa" w:w="3115"/>
          </w:tcPr>
          <w:p>
            <w:pPr>
              <w:pStyle w:val="null5"/>
              <w:jc w:val="left"/>
            </w:pPr>
            <w:r>
              <w:rPr>
                <w:rFonts w:ascii="仿宋_GB2312" w:hAnsi="仿宋_GB2312" w:cs="仿宋_GB2312" w:eastAsia="仿宋_GB2312"/>
              </w:rPr>
              <w:t>投标人针对本项目提供的项目需求分析内容包括①项目基本情况及编制依据；②服务内容及范围；③服务要求；④重点难点分析；⑤服务目标等内容。 上述5项内容每有一项缺项扣4分。每有一项存在一处缺陷扣1分；扣完为止。 注：“缺项”指某一项要求的内容未提供； “缺陷”指内容存在逻辑问题、凭空编造、前后不一致、涉及的规范及标准错误、地点区域错误、专业领域知识阐述有误、不具备实施的条件、套用其他项目方案、引用科学原理错误、前后内容互相矛盾、不符合采购需求、不可能实现的夸大情形等。</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投标人针对本项目提供的实施方案内容包括①年度养护计划；②清单范围内（如沙地柏、灌木丛、绿篱、槐树、草坪等）各类苗木的管理方案；③浇水、施肥、植物修剪、病虫害防治、松土除草、绿地保洁、苗木补植、支撑扶正实施方案；④拟投入本项目养护区域具体岗位设置等日常管理方案。 上述4项内容每有一项缺项扣4分。每有一项存在一处缺陷扣1分；扣完为止。 注：“缺项”指某一项要求的内容未提供； “缺陷”指内容存在逻辑问题、凭空编造、前后不一致、涉及的规范及标准错误、地点区域错误、专业领域知识阐述有误、不具备实施的条件、套用其他项目方案、引用科学原理错误、前后内容互相矛盾、不符合采购需求、不可能实现的夸大情形等。</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养护管理制度</w:t>
            </w:r>
          </w:p>
        </w:tc>
        <w:tc>
          <w:tcPr>
            <w:tcW w:type="dxa" w:w="3115"/>
          </w:tcPr>
          <w:p>
            <w:pPr>
              <w:pStyle w:val="null5"/>
              <w:jc w:val="left"/>
            </w:pPr>
            <w:r>
              <w:rPr>
                <w:rFonts w:ascii="仿宋_GB2312" w:hAnsi="仿宋_GB2312" w:cs="仿宋_GB2312" w:eastAsia="仿宋_GB2312"/>
              </w:rPr>
              <w:t>投标人针对本项目提供的养护管理制度包括①拟投入人员管理制度；②绿地日常维护管理制度；③拟投入设备设施维护操作制度；④绿化养护作业档案管理制度；⑤安全生产作业制度等内容。 上述5项内容每有一项缺项扣4分。每有一项存在一处缺陷扣1分；扣完为止。 注：“缺项”指某一项要求的内容未提供； “缺陷”指内容存在逻辑问题、凭空编造、前后不一致、涉及的规范及标准错误、地点区域错误、专业领域知识阐述有误、不具备实施的条件、套用其他项目方案、引用科学原理错误、前后内容互相矛盾、不符合采购需求、不可能实现的夸大情形等。</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投标人针对本项目提供的应急方案内容包括①重大公众活动的校园环境美化应急处理预案；②遭遇极端恶劣自然灾害时（如：狂风暴雨、暴雪霜冻、洪涝等）的绿化养护应急处置预案；③人员意外预案及应急措施；④人员临时补充预案等内容。 上述4项内容每有一项缺项扣4分。每有一项存在一处缺陷扣1分；扣完为止。 注：“缺项”指某一项要求的内容未提供； “缺陷”指内容存在逻辑问题、凭空编造、前后不一致、涉及的规范及标准错误、地点区域错误、专业领域知识阐述有误、不具备实施的条件、套用其他项目方案、引用科学原理错误、前后内容互相矛盾、不符合采购需求、不可能实现的夸大情形等。</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拟派项目负责人</w:t>
            </w:r>
          </w:p>
        </w:tc>
        <w:tc>
          <w:tcPr>
            <w:tcW w:type="dxa" w:w="3115"/>
          </w:tcPr>
          <w:p>
            <w:pPr>
              <w:pStyle w:val="null5"/>
              <w:jc w:val="left"/>
            </w:pPr>
            <w:r>
              <w:rPr>
                <w:rFonts w:ascii="仿宋_GB2312" w:hAnsi="仿宋_GB2312" w:cs="仿宋_GB2312" w:eastAsia="仿宋_GB2312"/>
              </w:rPr>
              <w:t>项目负责人：供应商拟投入本项目的项目负责人具有园林类或林业类中级职称的得3分，具有园林类或林业类高级职称的得5分。不重复计分，本项最多得5分。须提供相关人员证书复印件。未提供不得分。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拟派项目服务团队</w:t>
            </w:r>
          </w:p>
        </w:tc>
        <w:tc>
          <w:tcPr>
            <w:tcW w:type="dxa" w:w="3115"/>
          </w:tcPr>
          <w:p>
            <w:pPr>
              <w:pStyle w:val="null5"/>
              <w:jc w:val="left"/>
            </w:pPr>
            <w:r>
              <w:rPr>
                <w:rFonts w:ascii="仿宋_GB2312" w:hAnsi="仿宋_GB2312" w:cs="仿宋_GB2312" w:eastAsia="仿宋_GB2312"/>
              </w:rPr>
              <w:t>拟派项目服务团队除项目负责人外每有1名人员具有中级或以上职称证书（园林类或林业类）的得1分，此项最多得3分。 上述人员不重复计分，须提供相关人员证书复印件。未提供不得分。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近年内（2022年01月01日至递交投标文件截止时间），每提供一个类似项目业绩得2分，最高得10分。需提供合同（包含合同首页，内容页，金额页，缔约双方签字盖章页），以合同签订日期为准，否则不得分。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