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2025年自治区本级动物强制免疫疫苗采购项目（一）</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内蒙古自治区动物疫病预防控制中心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内蒙古国诏招标代理有限公司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NMGZCS-G-H-250044</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内蒙古国诏招标代理有限公司</w:t>
      </w:r>
      <w:r>
        <w:rPr>
          <w:rFonts w:ascii="仿宋_GB2312" w:hAnsi="仿宋_GB2312" w:cs="仿宋_GB2312" w:eastAsia="仿宋_GB2312"/>
        </w:rPr>
        <w:t xml:space="preserve"> 受 </w:t>
      </w:r>
      <w:r>
        <w:rPr>
          <w:rFonts w:ascii="仿宋_GB2312" w:hAnsi="仿宋_GB2312" w:cs="仿宋_GB2312" w:eastAsia="仿宋_GB2312"/>
        </w:rPr>
        <w:t>内蒙古自治区动物疫病预防控制中心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2025年自治区本级动物强制免疫疫苗采购项目（一）</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2025年自治区本级动物强制免疫疫苗采购项目（一）</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NMGZCS-G-H-250044</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内政采计划[2025]03019</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22,868,900.00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45,737,800.00</w:t>
            </w:r>
          </w:p>
        </w:tc>
        <w:tc>
          <w:tcPr>
            <w:tcW w:type="dxa" w:w="831"/>
          </w:tcPr>
          <w:p>
            <w:pPr>
              <w:pStyle w:val="null5"/>
              <w:jc w:val="right"/>
            </w:pPr>
            <w:r>
              <w:rPr>
                <w:rFonts w:ascii="仿宋_GB2312" w:hAnsi="仿宋_GB2312" w:cs="仿宋_GB2312" w:eastAsia="仿宋_GB2312"/>
              </w:rPr>
              <w:t>22,868,900.00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13,000,000.00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26,000,000.00</w:t>
            </w:r>
          </w:p>
        </w:tc>
        <w:tc>
          <w:tcPr>
            <w:tcW w:type="dxa" w:w="831"/>
          </w:tcPr>
          <w:p>
            <w:pPr>
              <w:pStyle w:val="null5"/>
              <w:jc w:val="right"/>
            </w:pPr>
            <w:r>
              <w:rPr>
                <w:rFonts w:ascii="仿宋_GB2312" w:hAnsi="仿宋_GB2312" w:cs="仿宋_GB2312" w:eastAsia="仿宋_GB2312"/>
              </w:rPr>
              <w:t>13,000,000.00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10,000,000.00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20,000,000.00</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left"/>
            </w:pPr>
            <w:r>
              <w:rPr>
                <w:rFonts w:ascii="仿宋_GB2312" w:hAnsi="仿宋_GB2312" w:cs="仿宋_GB2312" w:eastAsia="仿宋_GB2312"/>
              </w:rPr>
              <w:t>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5,000,000.00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right"/>
            </w:pPr>
            <w:r>
              <w:rPr>
                <w:rFonts w:ascii="仿宋_GB2312" w:hAnsi="仿宋_GB2312" w:cs="仿宋_GB2312" w:eastAsia="仿宋_GB2312"/>
              </w:rPr>
              <w:t>5,000,000.00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采购包预算金额（元）: 5,000,000.00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right"/>
            </w:pPr>
            <w:r>
              <w:rPr>
                <w:rFonts w:ascii="仿宋_GB2312" w:hAnsi="仿宋_GB2312" w:cs="仿宋_GB2312" w:eastAsia="仿宋_GB2312"/>
              </w:rPr>
              <w:t>5,000,000.00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采购包预算金额（元）: 5,000,000.00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right"/>
            </w:pPr>
            <w:r>
              <w:rPr>
                <w:rFonts w:ascii="仿宋_GB2312" w:hAnsi="仿宋_GB2312" w:cs="仿宋_GB2312" w:eastAsia="仿宋_GB2312"/>
              </w:rPr>
              <w:t>5,000,000.00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采购包预算金额（元）: 5,000,000.00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口蹄疫O型-A型二价灭活疫苗</w:t>
            </w:r>
          </w:p>
        </w:tc>
        <w:tc>
          <w:tcPr>
            <w:tcW w:type="dxa" w:w="831"/>
          </w:tcPr>
          <w:p>
            <w:pPr>
              <w:pStyle w:val="null5"/>
              <w:jc w:val="right"/>
            </w:pPr>
            <w:r>
              <w:rPr>
                <w:rFonts w:ascii="仿宋_GB2312" w:hAnsi="仿宋_GB2312" w:cs="仿宋_GB2312" w:eastAsia="仿宋_GB2312"/>
              </w:rPr>
              <w:t>10,000,000.00</w:t>
            </w:r>
          </w:p>
        </w:tc>
        <w:tc>
          <w:tcPr>
            <w:tcW w:type="dxa" w:w="831"/>
          </w:tcPr>
          <w:p>
            <w:pPr>
              <w:pStyle w:val="null5"/>
              <w:jc w:val="right"/>
            </w:pPr>
            <w:r>
              <w:rPr>
                <w:rFonts w:ascii="仿宋_GB2312" w:hAnsi="仿宋_GB2312" w:cs="仿宋_GB2312" w:eastAsia="仿宋_GB2312"/>
              </w:rPr>
              <w:t>5,000,000.00</w:t>
            </w:r>
          </w:p>
        </w:tc>
        <w:tc>
          <w:tcPr>
            <w:tcW w:type="dxa" w:w="831"/>
          </w:tcPr>
          <w:p>
            <w:pPr>
              <w:pStyle w:val="null5"/>
              <w:jc w:val="left"/>
            </w:pPr>
            <w:r>
              <w:rPr>
                <w:rFonts w:ascii="仿宋_GB2312" w:hAnsi="仿宋_GB2312" w:cs="仿宋_GB2312" w:eastAsia="仿宋_GB2312"/>
              </w:rPr>
              <w:t>羊头份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本项目采用“不见面开标”模式进行开标（投标人无需到达开标现场，开标当日在投标截止时间前登录“内蒙古自治区政府采购网--政府采购云平台”参加远程开标）。请投标人使用投标客户端严格按照招标文件的相关要求制作和上传电子投标文件，并按照相关要求参加开标。</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内蒙古国诏招标代理有限公司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呼和浩特市赛罕区国际会展中心对面万正广场8幢1单元501室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刘女士、张女士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0471-5614667</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内蒙古自治区动物疫病预防控制中心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内蒙古呼和浩特市赛罕区昭乌达路412号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苏日娜</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0471-4341086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7</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p>
            <w:pPr>
              <w:pStyle w:val="null5"/>
              <w:jc w:val="left"/>
            </w:pPr>
            <w:r>
              <w:rPr>
                <w:rFonts w:ascii="仿宋_GB2312" w:hAnsi="仿宋_GB2312" w:cs="仿宋_GB2312" w:eastAsia="仿宋_GB2312"/>
              </w:rPr>
              <w:t>采购包5：综合评分法</w:t>
            </w:r>
          </w:p>
          <w:p>
            <w:pPr>
              <w:pStyle w:val="null5"/>
              <w:jc w:val="left"/>
            </w:pPr>
            <w:r>
              <w:rPr>
                <w:rFonts w:ascii="仿宋_GB2312" w:hAnsi="仿宋_GB2312" w:cs="仿宋_GB2312" w:eastAsia="仿宋_GB2312"/>
              </w:rPr>
              <w:t>采购包6：综合评分法</w:t>
            </w:r>
          </w:p>
          <w:p>
            <w:pPr>
              <w:pStyle w:val="null5"/>
              <w:jc w:val="left"/>
            </w:pPr>
            <w:r>
              <w:rPr>
                <w:rFonts w:ascii="仿宋_GB2312" w:hAnsi="仿宋_GB2312" w:cs="仿宋_GB2312" w:eastAsia="仿宋_GB2312"/>
              </w:rPr>
              <w:t>采购包7：综合评分法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p>
            <w:pPr>
              <w:pStyle w:val="null5"/>
              <w:jc w:val="left"/>
            </w:pPr>
            <w:r>
              <w:rPr>
                <w:rFonts w:ascii="仿宋_GB2312" w:hAnsi="仿宋_GB2312" w:cs="仿宋_GB2312" w:eastAsia="仿宋_GB2312"/>
              </w:rPr>
              <w:t>采购包5：不接受</w:t>
            </w:r>
          </w:p>
          <w:p>
            <w:pPr>
              <w:pStyle w:val="null5"/>
              <w:jc w:val="left"/>
            </w:pPr>
            <w:r>
              <w:rPr>
                <w:rFonts w:ascii="仿宋_GB2312" w:hAnsi="仿宋_GB2312" w:cs="仿宋_GB2312" w:eastAsia="仿宋_GB2312"/>
              </w:rPr>
              <w:t>采购包6：不接受</w:t>
            </w:r>
          </w:p>
          <w:p>
            <w:pPr>
              <w:pStyle w:val="null5"/>
              <w:jc w:val="left"/>
            </w:pPr>
            <w:r>
              <w:rPr>
                <w:rFonts w:ascii="仿宋_GB2312" w:hAnsi="仿宋_GB2312" w:cs="仿宋_GB2312" w:eastAsia="仿宋_GB2312"/>
              </w:rPr>
              <w:t>采购包7：不接受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代理服务费收费标准：按金额的1.5%收取。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p>
            <w:pPr>
              <w:pStyle w:val="null5"/>
              <w:jc w:val="left"/>
            </w:pPr>
            <w:r>
              <w:rPr>
                <w:rFonts w:ascii="仿宋_GB2312" w:hAnsi="仿宋_GB2312" w:cs="仿宋_GB2312" w:eastAsia="仿宋_GB2312"/>
              </w:rPr>
              <w:t>采购包4：不属于专门面向中小企业采购。</w:t>
            </w:r>
          </w:p>
          <w:p>
            <w:pPr>
              <w:pStyle w:val="null5"/>
              <w:jc w:val="left"/>
            </w:pPr>
            <w:r>
              <w:rPr>
                <w:rFonts w:ascii="仿宋_GB2312" w:hAnsi="仿宋_GB2312" w:cs="仿宋_GB2312" w:eastAsia="仿宋_GB2312"/>
              </w:rPr>
              <w:t>采购包5：不属于专门面向中小企业采购。</w:t>
            </w:r>
          </w:p>
          <w:p>
            <w:pPr>
              <w:pStyle w:val="null5"/>
              <w:jc w:val="left"/>
            </w:pPr>
            <w:r>
              <w:rPr>
                <w:rFonts w:ascii="仿宋_GB2312" w:hAnsi="仿宋_GB2312" w:cs="仿宋_GB2312" w:eastAsia="仿宋_GB2312"/>
              </w:rPr>
              <w:t>采购包6：不属于专门面向中小企业采购。</w:t>
            </w:r>
          </w:p>
          <w:p>
            <w:pPr>
              <w:pStyle w:val="null5"/>
              <w:jc w:val="left"/>
            </w:pPr>
            <w:r>
              <w:rPr>
                <w:rFonts w:ascii="仿宋_GB2312" w:hAnsi="仿宋_GB2312" w:cs="仿宋_GB2312" w:eastAsia="仿宋_GB2312"/>
              </w:rPr>
              <w:t>采购包7：不属于专门面向中小企业采购。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p>
            <w:pPr>
              <w:pStyle w:val="null5"/>
              <w:jc w:val="left"/>
            </w:pPr>
            <w:r>
              <w:rPr>
                <w:rFonts w:ascii="仿宋_GB2312" w:hAnsi="仿宋_GB2312" w:cs="仿宋_GB2312" w:eastAsia="仿宋_GB2312"/>
              </w:rPr>
              <w:t>采购包5：3家</w:t>
            </w:r>
          </w:p>
          <w:p>
            <w:pPr>
              <w:pStyle w:val="null5"/>
              <w:jc w:val="left"/>
            </w:pPr>
            <w:r>
              <w:rPr>
                <w:rFonts w:ascii="仿宋_GB2312" w:hAnsi="仿宋_GB2312" w:cs="仿宋_GB2312" w:eastAsia="仿宋_GB2312"/>
              </w:rPr>
              <w:t>采购包6：3家</w:t>
            </w:r>
          </w:p>
          <w:p>
            <w:pPr>
              <w:pStyle w:val="null5"/>
              <w:jc w:val="left"/>
            </w:pPr>
            <w:r>
              <w:rPr>
                <w:rFonts w:ascii="仿宋_GB2312" w:hAnsi="仿宋_GB2312" w:cs="仿宋_GB2312" w:eastAsia="仿宋_GB2312"/>
              </w:rPr>
              <w:t>采购包7：3家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p>
            <w:pPr>
              <w:pStyle w:val="null5"/>
              <w:jc w:val="left"/>
            </w:pPr>
            <w:r>
              <w:rPr>
                <w:rFonts w:ascii="仿宋_GB2312" w:hAnsi="仿宋_GB2312" w:cs="仿宋_GB2312" w:eastAsia="仿宋_GB2312"/>
              </w:rPr>
              <w:t>采购包5：1名</w:t>
            </w:r>
          </w:p>
          <w:p>
            <w:pPr>
              <w:pStyle w:val="null5"/>
              <w:jc w:val="left"/>
            </w:pPr>
            <w:r>
              <w:rPr>
                <w:rFonts w:ascii="仿宋_GB2312" w:hAnsi="仿宋_GB2312" w:cs="仿宋_GB2312" w:eastAsia="仿宋_GB2312"/>
              </w:rPr>
              <w:t>采购包6：1名</w:t>
            </w:r>
          </w:p>
          <w:p>
            <w:pPr>
              <w:pStyle w:val="null5"/>
              <w:jc w:val="left"/>
            </w:pPr>
            <w:r>
              <w:rPr>
                <w:rFonts w:ascii="仿宋_GB2312" w:hAnsi="仿宋_GB2312" w:cs="仿宋_GB2312" w:eastAsia="仿宋_GB2312"/>
              </w:rPr>
              <w:t>采购包7：1名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p>
            <w:pPr>
              <w:pStyle w:val="null5"/>
              <w:jc w:val="left"/>
            </w:pPr>
            <w:r>
              <w:rPr>
                <w:rFonts w:ascii="仿宋_GB2312" w:hAnsi="仿宋_GB2312" w:cs="仿宋_GB2312" w:eastAsia="仿宋_GB2312"/>
              </w:rPr>
              <w:t>采购包5：3名</w:t>
            </w:r>
          </w:p>
          <w:p>
            <w:pPr>
              <w:pStyle w:val="null5"/>
              <w:jc w:val="left"/>
            </w:pPr>
            <w:r>
              <w:rPr>
                <w:rFonts w:ascii="仿宋_GB2312" w:hAnsi="仿宋_GB2312" w:cs="仿宋_GB2312" w:eastAsia="仿宋_GB2312"/>
              </w:rPr>
              <w:t>采购包6：3名</w:t>
            </w:r>
          </w:p>
          <w:p>
            <w:pPr>
              <w:pStyle w:val="null5"/>
              <w:jc w:val="left"/>
            </w:pPr>
            <w:r>
              <w:rPr>
                <w:rFonts w:ascii="仿宋_GB2312" w:hAnsi="仿宋_GB2312" w:cs="仿宋_GB2312" w:eastAsia="仿宋_GB2312"/>
              </w:rPr>
              <w:t>采购包7：3名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p>
            <w:pPr>
              <w:pStyle w:val="null5"/>
              <w:jc w:val="left"/>
            </w:pPr>
            <w:r>
              <w:rPr>
                <w:rFonts w:ascii="仿宋_GB2312" w:hAnsi="仿宋_GB2312" w:cs="仿宋_GB2312" w:eastAsia="仿宋_GB2312"/>
              </w:rPr>
              <w:t>采购包5：总价</w:t>
            </w:r>
          </w:p>
          <w:p>
            <w:pPr>
              <w:pStyle w:val="null5"/>
              <w:jc w:val="left"/>
            </w:pPr>
            <w:r>
              <w:rPr>
                <w:rFonts w:ascii="仿宋_GB2312" w:hAnsi="仿宋_GB2312" w:cs="仿宋_GB2312" w:eastAsia="仿宋_GB2312"/>
              </w:rPr>
              <w:t>采购包6：总价</w:t>
            </w:r>
          </w:p>
          <w:p>
            <w:pPr>
              <w:pStyle w:val="null5"/>
              <w:jc w:val="left"/>
            </w:pPr>
            <w:r>
              <w:rPr>
                <w:rFonts w:ascii="仿宋_GB2312" w:hAnsi="仿宋_GB2312" w:cs="仿宋_GB2312" w:eastAsia="仿宋_GB2312"/>
              </w:rPr>
              <w:t>采购包7：总价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p>
            <w:pPr>
              <w:pStyle w:val="null5"/>
              <w:jc w:val="left"/>
            </w:pPr>
            <w:r>
              <w:rPr>
                <w:rFonts w:ascii="仿宋_GB2312" w:hAnsi="仿宋_GB2312" w:cs="仿宋_GB2312" w:eastAsia="仿宋_GB2312"/>
              </w:rPr>
              <w:t>采购包5：组织现场踏勘：否</w:t>
            </w:r>
          </w:p>
          <w:p>
            <w:pPr>
              <w:pStyle w:val="null5"/>
              <w:jc w:val="left"/>
            </w:pPr>
            <w:r>
              <w:rPr>
                <w:rFonts w:ascii="仿宋_GB2312" w:hAnsi="仿宋_GB2312" w:cs="仿宋_GB2312" w:eastAsia="仿宋_GB2312"/>
              </w:rPr>
              <w:t>采购包6：组织现场踏勘：否</w:t>
            </w:r>
          </w:p>
          <w:p>
            <w:pPr>
              <w:pStyle w:val="null5"/>
              <w:jc w:val="left"/>
            </w:pPr>
            <w:r>
              <w:rPr>
                <w:rFonts w:ascii="仿宋_GB2312" w:hAnsi="仿宋_GB2312" w:cs="仿宋_GB2312" w:eastAsia="仿宋_GB2312"/>
              </w:rPr>
              <w:t>采购包7：组织现场踏勘：否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供应商可对多个品种疫苗多个包段进行投标，但每个品种的疫苗只能中一个包段。即同一品种疫苗，从第一个包段开始，逐个包段确定预中标供应商，已经中标的不再作为预中标供应商。</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纸质文件份数要求，中标公示发布后中标人按要求提供与网上提交的电子投标文件内容完全一致的纸质投标文件，纸质投标文件是电子投标件的打印版，投标文件必须胶装成册，其他形式装订拒不接收。 纸质投标文件份数为一式4份，其中正本1份，副本3份，未中标的投标人不需要制作纸质投标文件。</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内蒙古自治区动物疫病预防控制中心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内蒙古国诏招标代理有限公司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严格依照《中华人民共和国政府采购法》、《政府采购法实施条例》等法律法规，严格遵循《中华人民共和国动物防疫法》、《国家动物疫病强制免疫指导意见（2022—2025年）》、《2025年国家动物疫病免疫技术指南》、《2025年自治区兽医工作要点》等文件要求，并遵照自治区采购管理相关文件要求，开展自治区本级动物强制疫苗招标采购工作。</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双方签订合同后，供应商按照“内蒙古牧运通”平台系统订单在10个日历日内完成发货。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“内蒙古牧运通”平台系统订单申请发货的各盟市、旗县。</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1）疫苗送达收货单位后，中标供应商提供运送疫苗清单一式二份（采购方、中标供应商双方各一份），收货单位根据运送疫苗清单核验，由收货单位负责人签字或盖章生效。中标供应商需将有效清单和发票一并交采购方核验。 （2）采购方收到中标供应商提供的发票、采购合同，与各收货单位出示的收货凭证（《动物强制免疫疫苗接收单》），经采购方核对，确认无误后，办理报账付款手续。 （3）按合同实际采购数量和中标价格结算。 （4）在中标供应商处储备部分疫苗，采购人可先支付储备疫苗货款，中标供应商按采购人规定的地点和时间发货。</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 评标结果按评审后得分由高到低顺序排列。得分相同的，按修正和扣除后的投标报价由低到高顺序排列。得分与投标报价均相同的处理方式：按技术质量优劣顺序排列。</w:t>
              <w:br/>
              <w:t>（2）: 同一投标人每个品种疫苗每个包段的投标单价应当一致，不得不同包段不同单价。以头份（毫升）报价，投标报价应包含一切与投标有关的费用。</w:t>
              <w:br/>
              <w:t>（3）: 投标人需出具所投产品的材料明细清单。</w:t>
              <w:br/>
              <w:t>（4）: 依据《政府采购货物和服务招标投标管理办法》（财政部令第87号）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就此，请投标人先期做好相应的材料准备，以备在评标现场出现上述情形后，能够按照评标委员会的要求，提供详尽的、全面的、合理的、准确的关于投标报价的书面说明并能够提供有效的、充分的、可信的、完备的相关证明材料。（注：上述内容无需在投标文件中体现。）</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售后服务要求: 中标生产企业制定售后服务承诺书，根据疫苗供应数量、疫苗副反应情况等，对疫苗使用地区提供技术培训、免疫抗体监测、疫苗冷藏保存等售后服务及出现疫苗副反应后的补偿。</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p>
            <w:pPr>
              <w:pStyle w:val="null5"/>
              <w:jc w:val="left"/>
            </w:pP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标的名称：口蹄疫O型-A型二价灭活疫苗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作用与用途：用于预防牛羊O型、A型口蹄疫。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 毫升/瓶、100毫升/瓶；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采用进口佐剂生产；</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效力检验，每头份疫苗含口蹄疫O型、A型均应高于8个PD50，146S含量≥4.0µg/头份；</w:t>
            </w:r>
          </w:p>
        </w:tc>
      </w:tr>
      <w:tr>
        <w:tc>
          <w:tcPr>
            <w:tcW w:type="dxa" w:w="2769"/>
          </w:tcPr>
          <w:p>
            <w:pPr>
              <w:pStyle w:val="null5"/>
              <w:jc w:val="left"/>
            </w:pPr>
            <w:r>
              <w:rPr>
                <w:rFonts w:ascii="仿宋_GB2312" w:hAnsi="仿宋_GB2312" w:cs="仿宋_GB2312" w:eastAsia="仿宋_GB2312"/>
              </w:rPr>
              <w:t>5</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内毒素含量≤10EU/头份；</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总蛋白含量≤300µg/毫升；</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使用安全、无不良反应，免疫保护期不少于6个月；</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产品在2－8℃保存，在有效期内保证有效免疫效价；</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采购包5：</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采购包6：</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采购包7：</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