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2025年自治区本级动物强制免疫疫苗采购项目（二）</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内蒙古自治区动物疫病预防控制中心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内蒙古招标有限责任公司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NMGZCS-G-H-250049</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内蒙古招标有限责任公司</w:t>
      </w:r>
      <w:r>
        <w:rPr>
          <w:rFonts w:ascii="仿宋_GB2312" w:hAnsi="仿宋_GB2312" w:cs="仿宋_GB2312" w:eastAsia="仿宋_GB2312"/>
        </w:rPr>
        <w:t xml:space="preserve"> 受 </w:t>
      </w:r>
      <w:r>
        <w:rPr>
          <w:rFonts w:ascii="仿宋_GB2312" w:hAnsi="仿宋_GB2312" w:cs="仿宋_GB2312" w:eastAsia="仿宋_GB2312"/>
        </w:rPr>
        <w:t>内蒙古自治区动物疫病预防控制中心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2025年自治区本级动物强制免疫疫苗采购项目（二）</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2025年自治区本级动物强制免疫疫苗采购项目（二）</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NMGZCS-G-H-250049</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内政采计划[2025]03182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1,968,630.00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小反刍兽疫疫苗（含稀释液）（1）</w:t>
            </w:r>
          </w:p>
        </w:tc>
        <w:tc>
          <w:tcPr>
            <w:tcW w:type="dxa" w:w="831"/>
          </w:tcPr>
          <w:p>
            <w:pPr>
              <w:pStyle w:val="null5"/>
              <w:jc w:val="right"/>
            </w:pPr>
            <w:r>
              <w:rPr>
                <w:rFonts w:ascii="仿宋_GB2312" w:hAnsi="仿宋_GB2312" w:cs="仿宋_GB2312" w:eastAsia="仿宋_GB2312"/>
              </w:rPr>
              <w:t>6,562,100.00</w:t>
            </w:r>
          </w:p>
        </w:tc>
        <w:tc>
          <w:tcPr>
            <w:tcW w:type="dxa" w:w="831"/>
          </w:tcPr>
          <w:p>
            <w:pPr>
              <w:pStyle w:val="null5"/>
              <w:jc w:val="right"/>
            </w:pPr>
            <w:r>
              <w:rPr>
                <w:rFonts w:ascii="仿宋_GB2312" w:hAnsi="仿宋_GB2312" w:cs="仿宋_GB2312" w:eastAsia="仿宋_GB2312"/>
              </w:rPr>
              <w:t>1,968,630.00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1,968,630.00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小反刍兽疫疫苗（含稀释液）（2）</w:t>
            </w:r>
          </w:p>
        </w:tc>
        <w:tc>
          <w:tcPr>
            <w:tcW w:type="dxa" w:w="831"/>
          </w:tcPr>
          <w:p>
            <w:pPr>
              <w:pStyle w:val="null5"/>
              <w:jc w:val="right"/>
            </w:pPr>
            <w:r>
              <w:rPr>
                <w:rFonts w:ascii="仿宋_GB2312" w:hAnsi="仿宋_GB2312" w:cs="仿宋_GB2312" w:eastAsia="仿宋_GB2312"/>
              </w:rPr>
              <w:t>6,562,100.00</w:t>
            </w:r>
          </w:p>
        </w:tc>
        <w:tc>
          <w:tcPr>
            <w:tcW w:type="dxa" w:w="831"/>
          </w:tcPr>
          <w:p>
            <w:pPr>
              <w:pStyle w:val="null5"/>
              <w:jc w:val="right"/>
            </w:pPr>
            <w:r>
              <w:rPr>
                <w:rFonts w:ascii="仿宋_GB2312" w:hAnsi="仿宋_GB2312" w:cs="仿宋_GB2312" w:eastAsia="仿宋_GB2312"/>
              </w:rPr>
              <w:t>1,968,630.00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1,968,630.00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小反刍兽疫疫苗（含稀释液）（3）</w:t>
            </w:r>
          </w:p>
        </w:tc>
        <w:tc>
          <w:tcPr>
            <w:tcW w:type="dxa" w:w="831"/>
          </w:tcPr>
          <w:p>
            <w:pPr>
              <w:pStyle w:val="null5"/>
              <w:jc w:val="right"/>
            </w:pPr>
            <w:r>
              <w:rPr>
                <w:rFonts w:ascii="仿宋_GB2312" w:hAnsi="仿宋_GB2312" w:cs="仿宋_GB2312" w:eastAsia="仿宋_GB2312"/>
              </w:rPr>
              <w:t>6,562,100.00</w:t>
            </w:r>
          </w:p>
        </w:tc>
        <w:tc>
          <w:tcPr>
            <w:tcW w:type="dxa" w:w="831"/>
          </w:tcPr>
          <w:p>
            <w:pPr>
              <w:pStyle w:val="null5"/>
              <w:jc w:val="right"/>
            </w:pPr>
            <w:r>
              <w:rPr>
                <w:rFonts w:ascii="仿宋_GB2312" w:hAnsi="仿宋_GB2312" w:cs="仿宋_GB2312" w:eastAsia="仿宋_GB2312"/>
              </w:rPr>
              <w:t>1,968,630.00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5,889,600.00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小反刍兽疫疫苗（含稀释液）（4）</w:t>
            </w:r>
          </w:p>
        </w:tc>
        <w:tc>
          <w:tcPr>
            <w:tcW w:type="dxa" w:w="831"/>
          </w:tcPr>
          <w:p>
            <w:pPr>
              <w:pStyle w:val="null5"/>
              <w:jc w:val="right"/>
            </w:pPr>
            <w:r>
              <w:rPr>
                <w:rFonts w:ascii="仿宋_GB2312" w:hAnsi="仿宋_GB2312" w:cs="仿宋_GB2312" w:eastAsia="仿宋_GB2312"/>
              </w:rPr>
              <w:t>19,632,000.00</w:t>
            </w:r>
          </w:p>
        </w:tc>
        <w:tc>
          <w:tcPr>
            <w:tcW w:type="dxa" w:w="831"/>
          </w:tcPr>
          <w:p>
            <w:pPr>
              <w:pStyle w:val="null5"/>
              <w:jc w:val="right"/>
            </w:pPr>
            <w:r>
              <w:rPr>
                <w:rFonts w:ascii="仿宋_GB2312" w:hAnsi="仿宋_GB2312" w:cs="仿宋_GB2312" w:eastAsia="仿宋_GB2312"/>
              </w:rPr>
              <w:t>5,889,600.00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3,990,000.00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小反刍兽疫疫苗（含稀释液）（5）</w:t>
            </w:r>
          </w:p>
        </w:tc>
        <w:tc>
          <w:tcPr>
            <w:tcW w:type="dxa" w:w="831"/>
          </w:tcPr>
          <w:p>
            <w:pPr>
              <w:pStyle w:val="null5"/>
              <w:jc w:val="right"/>
            </w:pPr>
            <w:r>
              <w:rPr>
                <w:rFonts w:ascii="仿宋_GB2312" w:hAnsi="仿宋_GB2312" w:cs="仿宋_GB2312" w:eastAsia="仿宋_GB2312"/>
              </w:rPr>
              <w:t>13,300,000.00</w:t>
            </w:r>
          </w:p>
        </w:tc>
        <w:tc>
          <w:tcPr>
            <w:tcW w:type="dxa" w:w="831"/>
          </w:tcPr>
          <w:p>
            <w:pPr>
              <w:pStyle w:val="null5"/>
              <w:jc w:val="right"/>
            </w:pPr>
            <w:r>
              <w:rPr>
                <w:rFonts w:ascii="仿宋_GB2312" w:hAnsi="仿宋_GB2312" w:cs="仿宋_GB2312" w:eastAsia="仿宋_GB2312"/>
              </w:rPr>
              <w:t>3,990,000.00</w:t>
            </w:r>
          </w:p>
        </w:tc>
        <w:tc>
          <w:tcPr>
            <w:tcW w:type="dxa" w:w="831"/>
          </w:tcPr>
          <w:p>
            <w:pPr>
              <w:pStyle w:val="null5"/>
              <w:jc w:val="left"/>
            </w:pPr>
            <w:r>
              <w:rPr>
                <w:rFonts w:ascii="仿宋_GB2312" w:hAnsi="仿宋_GB2312" w:cs="仿宋_GB2312" w:eastAsia="仿宋_GB2312"/>
              </w:rPr>
              <w:t>头份</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1、特定资格要求：具有农业农村部颁发的投标产品生产许可证、投标产品批准文号、疫苗批签发。</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内蒙古招标有限责任公司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内蒙古自治区呼和浩特市赛罕区腾飞大道众生大厦17层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汪乐兵、刘书伟、冀果果、吴谨旭</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0471-3255129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内蒙古自治区动物疫病预防控制中心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内蒙古呼和浩特市赛罕区昭乌达路412号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苏日娜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0471-4341086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5</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 xml:space="preserve">代理服务费收费标准：参照内蒙古自治区工程建设协会印发的《内蒙古自治区建设工程招标代理服务收费指导意见》的通知(内工建协(2022)34号)，向成交供应商收取；代理费用收取方式：中标/成交供应商 </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p>
            <w:pPr>
              <w:pStyle w:val="null5"/>
              <w:jc w:val="left"/>
            </w:pPr>
            <w:r>
              <w:rPr>
                <w:rFonts w:ascii="仿宋_GB2312" w:hAnsi="仿宋_GB2312" w:cs="仿宋_GB2312" w:eastAsia="仿宋_GB2312"/>
              </w:rPr>
              <w:t>采购包5：3家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p>
            <w:pPr>
              <w:pStyle w:val="null5"/>
              <w:jc w:val="left"/>
            </w:pPr>
            <w:r>
              <w:rPr>
                <w:rFonts w:ascii="仿宋_GB2312" w:hAnsi="仿宋_GB2312" w:cs="仿宋_GB2312" w:eastAsia="仿宋_GB2312"/>
              </w:rPr>
              <w:t>采购包5：1名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p>
            <w:pPr>
              <w:pStyle w:val="null5"/>
              <w:jc w:val="left"/>
            </w:pPr>
            <w:r>
              <w:rPr>
                <w:rFonts w:ascii="仿宋_GB2312" w:hAnsi="仿宋_GB2312" w:cs="仿宋_GB2312" w:eastAsia="仿宋_GB2312"/>
              </w:rPr>
              <w:t>采购包5：总价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p>
            <w:pPr>
              <w:pStyle w:val="null5"/>
              <w:jc w:val="left"/>
            </w:pPr>
            <w:r>
              <w:rPr>
                <w:rFonts w:ascii="仿宋_GB2312" w:hAnsi="仿宋_GB2312" w:cs="仿宋_GB2312" w:eastAsia="仿宋_GB2312"/>
              </w:rPr>
              <w:t>采购包5：组织现场踏勘：否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供应商可对多个品种疫苗多个包段进行投标，但每个品种的疫苗只能中一个包段。即同一品种疫苗，从第一个包段开始，逐个包段确定预中标供应商，已经中标的不再作为预中标供应商。</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内蒙古自治区动物疫病预防控制中心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内蒙古招标有限责任公司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特定资格要求</w:t>
            </w:r>
          </w:p>
        </w:tc>
        <w:tc>
          <w:tcPr>
            <w:tcW w:type="dxa" w:w="4984"/>
          </w:tcPr>
          <w:p>
            <w:pPr>
              <w:pStyle w:val="null5"/>
              <w:jc w:val="left"/>
            </w:pPr>
            <w:r>
              <w:rPr>
                <w:rFonts w:ascii="仿宋_GB2312" w:hAnsi="仿宋_GB2312" w:cs="仿宋_GB2312" w:eastAsia="仿宋_GB2312"/>
              </w:rPr>
              <w:t>具有农业农村部颁发的投标产品生产许可证、投标产品批准文号、疫苗批签发。</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严格依照《中华人民共和国政府采购法》、《政府采购法实施条例》等法律法规，严格遵循《中华人民共和国动物防疫法》、《国家动物疫病强制免疫指导意见（2022—2025年）》、《2025年国家动物疫病免疫技术指南》、《2025年自治区兽医工作要点》等文件要求，并遵照自治区采购管理相关文件要求，开展自治区本级动物强制疫苗招标采购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中标供应商、采购人双方签订合同后，中标供应商按照采购人在“内蒙古兽医信息化管理系统政务平台”订单要求，按采购人发出订单后10个日历天内，将货物送往所要求的地点和收货单位。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签订合同后，按采购人在“内蒙古兽医信息化管理系统政务平台”订单要求，在发出订单后10个日历天内，将货物送往所要求的地点和收货单位。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中标供应商、采购人双方签订合同后，中标供应商按照采购人在“内蒙古兽医信息化管理系统政务平台”订单要求，按采购人发出订单后10个日历天内，将货物送往所要求的地点和收货单位。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签订合同后，按采购人在“内蒙古兽医信息化管理系统政务平台”订单要求，在发出订单后10个日历天内，将货物送往所要求的地点和收货单位。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中标供应商、采购人双方签订合同后，中标供应商按照采购人在“内蒙古兽医信息化管理系统政务平台”订单要求，按采购人发出订单后10个日历天内，将货物送往所要求的地点和收货单位。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签订合同后，按采购人在“内蒙古兽医信息化管理系统政务平台”订单要求，在发出订单后10个日历天内，将货物送往所要求的地点和收货单位。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中标供应商、采购人双方签订合同后，中标供应商按照采购人在“内蒙古兽医信息化管理系统政务平台”订单要求，按采购人发出订单后10个日历天内，将货物送往所要求的地点和收货单位。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签订合同后，按采购人在“内蒙古兽医信息化管理系统政务平台”订单要求，在发出订单后10个日历天内，将货物送往所要求的地点和收货单位。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中标供应商、采购人双方签订合同后，中标供应商按照采购人在“内蒙古兽医信息化管理系统政务平台”订单要求，按采购人发出订单后10个日历天内，将货物送往所要求的地点和收货单位。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签订合同后，按采购人在“内蒙古兽医信息化管理系统政务平台”订单要求，在发出订单后10个日历天内，将货物送往所要求的地点和收货单位。</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疫苗送达收货单位后，中标供应商提供运送疫苗清单一式二份，收货单位根据运送疫苗清单核验，由收货单位负责人签字或盖章生效。中标供应商需将有效清单和发票一并交采购方核验。采购方收到中标商提供的发票、采购合同与各收货单位出示的收货凭证（动物强制免疫疫苗接收单），经采购方核对确认无误后，办理报账付款手续。按合同实际采购数量和中标价格结算。供应商储备部分疫苗，采购人先支付储备疫苗货款，中标供应商按规定发货。，达到付款条件起30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需要缴纳履约保证金：缴纳</w:t>
            </w:r>
          </w:p>
          <w:p>
            <w:pPr>
              <w:pStyle w:val="null5"/>
              <w:jc w:val="left"/>
            </w:pPr>
            <w:r>
              <w:rPr>
                <w:rFonts w:ascii="仿宋_GB2312" w:hAnsi="仿宋_GB2312" w:cs="仿宋_GB2312" w:eastAsia="仿宋_GB2312"/>
              </w:rPr>
              <w:t>缴纳方式：银行转账，支票/汇票/本票，保函/保险</w:t>
            </w:r>
          </w:p>
          <w:p>
            <w:pPr>
              <w:pStyle w:val="null5"/>
              <w:jc w:val="left"/>
            </w:pPr>
            <w:r>
              <w:rPr>
                <w:rFonts w:ascii="仿宋_GB2312" w:hAnsi="仿宋_GB2312" w:cs="仿宋_GB2312" w:eastAsia="仿宋_GB2312"/>
              </w:rPr>
              <w:t>缴纳比例：3</w:t>
            </w:r>
          </w:p>
          <w:p>
            <w:pPr>
              <w:pStyle w:val="null5"/>
              <w:jc w:val="left"/>
            </w:pPr>
            <w:r>
              <w:rPr>
                <w:rFonts w:ascii="仿宋_GB2312" w:hAnsi="仿宋_GB2312" w:cs="仿宋_GB2312" w:eastAsia="仿宋_GB2312"/>
              </w:rPr>
              <w:t>缴纳说明：中标供应商在签订合同同时将中标金额3%的履约保证金汇入采购人账户，履约保证金到账后合同生效。自货物验收合格之日起且质保期满9个月，无质量及服务问题30日内无息退还。</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标的名称：小反刍兽疫疫苗（含稀释液）（1）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作用与用途：用于预防羊小反刍兽疫;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包装为50头份/瓶、100头份/瓶；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小反刍兽疫病毒Clone9株；</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b/>
              </w:rPr>
              <w:t>每头份疫苗含有小反刍兽疫弱毒病毒≥</w:t>
            </w:r>
            <w:r>
              <w:rPr>
                <w:rFonts w:ascii="仿宋_GB2312" w:hAnsi="仿宋_GB2312" w:cs="仿宋_GB2312" w:eastAsia="仿宋_GB2312"/>
              </w:rPr>
              <w:t>10</w:t>
            </w:r>
            <w:r>
              <w:rPr>
                <w:rFonts w:ascii="仿宋_GB2312" w:hAnsi="仿宋_GB2312" w:cs="仿宋_GB2312" w:eastAsia="仿宋_GB2312"/>
                <w:vertAlign w:val="superscript"/>
              </w:rPr>
              <w:t>3</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使用安全、无不良反应；</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产品在-15℃以下保存在有效期内保证有效免疫效价，交货时有效期在9个月以上。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标的名称：小反刍兽疫疫苗（含稀释液）（2）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作用与用途：用于预防羊小反刍兽疫;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包装为50头份/瓶、100头份/瓶；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小反刍兽疫病毒Clone9株；</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b/>
              </w:rPr>
              <w:t>每头份疫苗含有小反刍兽疫弱毒病毒≥</w:t>
            </w:r>
            <w:r>
              <w:rPr>
                <w:rFonts w:ascii="仿宋_GB2312" w:hAnsi="仿宋_GB2312" w:cs="仿宋_GB2312" w:eastAsia="仿宋_GB2312"/>
              </w:rPr>
              <w:t>10</w:t>
            </w:r>
            <w:r>
              <w:rPr>
                <w:rFonts w:ascii="仿宋_GB2312" w:hAnsi="仿宋_GB2312" w:cs="仿宋_GB2312" w:eastAsia="仿宋_GB2312"/>
                <w:vertAlign w:val="superscript"/>
              </w:rPr>
              <w:t>3</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使用安全、无不良反应；</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产品在-15℃以下保存在有效期内保证有效免疫效价，交货时有效期在9个月以上。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标的名称：小反刍兽疫疫苗（含稀释液）（3）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作用与用途：用于预防羊小反刍兽疫;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包装为50头份/瓶、100头份/瓶；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小反刍兽疫病毒Clone9株；</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b/>
              </w:rPr>
              <w:t>每头份疫苗含有小反刍兽疫弱毒病毒≥</w:t>
            </w:r>
            <w:r>
              <w:rPr>
                <w:rFonts w:ascii="仿宋_GB2312" w:hAnsi="仿宋_GB2312" w:cs="仿宋_GB2312" w:eastAsia="仿宋_GB2312"/>
              </w:rPr>
              <w:t>10</w:t>
            </w:r>
            <w:r>
              <w:rPr>
                <w:rFonts w:ascii="仿宋_GB2312" w:hAnsi="仿宋_GB2312" w:cs="仿宋_GB2312" w:eastAsia="仿宋_GB2312"/>
                <w:vertAlign w:val="superscript"/>
              </w:rPr>
              <w:t>3</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使用安全、无不良反应；</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产品在-15℃以下保存在有效期内保证有效免疫效价，交货时有效期在9个月以上。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标的名称：小反刍兽疫疫苗（含稀释液）（4）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作用与用途：用于预防羊小反刍兽疫;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包装为50头份/瓶、100头份/瓶；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小反刍兽疫病毒Clone9株；</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每头份疫苗含有小反刍兽疫弱毒病毒≥10</w:t>
            </w:r>
            <w:r>
              <w:rPr>
                <w:rFonts w:ascii="仿宋_GB2312" w:hAnsi="仿宋_GB2312" w:cs="仿宋_GB2312" w:eastAsia="仿宋_GB2312"/>
                <w:vertAlign w:val="superscript"/>
              </w:rPr>
              <w:t>3</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b/>
              </w:rPr>
              <w:t>山羊痘病毒AV41株，每头份疫苗含有山羊痘弱毒病毒≥</w:t>
            </w:r>
            <w:r>
              <w:rPr>
                <w:rFonts w:ascii="仿宋_GB2312" w:hAnsi="仿宋_GB2312" w:cs="仿宋_GB2312" w:eastAsia="仿宋_GB2312"/>
              </w:rPr>
              <w:t>10</w:t>
            </w:r>
            <w:r>
              <w:rPr>
                <w:rFonts w:ascii="仿宋_GB2312" w:hAnsi="仿宋_GB2312" w:cs="仿宋_GB2312" w:eastAsia="仿宋_GB2312"/>
                <w:vertAlign w:val="superscript"/>
              </w:rPr>
              <w:t>3.5</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使用安全、无不良反应；</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产品在-15℃以下保存在有效期内保证有效免疫效价，交货时有效期在9个月以上。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标的名称：小反刍兽疫疫苗（含稀释液）（5）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作用与用途：用于预防羊小反刍兽疫;</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包装为50头份/瓶、100头份/瓶；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小反刍兽疫病毒Clone9株；</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每头份疫苗含有小反刍兽疫弱毒病毒≥10</w:t>
            </w:r>
            <w:r>
              <w:rPr>
                <w:rFonts w:ascii="仿宋_GB2312" w:hAnsi="仿宋_GB2312" w:cs="仿宋_GB2312" w:eastAsia="仿宋_GB2312"/>
                <w:vertAlign w:val="superscript"/>
              </w:rPr>
              <w:t>3</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b/>
              </w:rPr>
              <w:t>山羊痘病毒AV41株，每头份疫苗含有山羊痘弱毒病毒≥</w:t>
            </w:r>
            <w:r>
              <w:rPr>
                <w:rFonts w:ascii="仿宋_GB2312" w:hAnsi="仿宋_GB2312" w:cs="仿宋_GB2312" w:eastAsia="仿宋_GB2312"/>
              </w:rPr>
              <w:t>10</w:t>
            </w:r>
            <w:r>
              <w:rPr>
                <w:rFonts w:ascii="仿宋_GB2312" w:hAnsi="仿宋_GB2312" w:cs="仿宋_GB2312" w:eastAsia="仿宋_GB2312"/>
                <w:vertAlign w:val="superscript"/>
              </w:rPr>
              <w:t>3.5</w:t>
            </w:r>
            <w:r>
              <w:rPr>
                <w:rFonts w:ascii="仿宋_GB2312" w:hAnsi="仿宋_GB2312" w:cs="仿宋_GB2312" w:eastAsia="仿宋_GB2312"/>
              </w:rPr>
              <w:t>TCID50；</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使用安全、无不良反应；</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产品在-15℃以下保存在有效期内保证有效免疫效价，交货时有效期在9个月以上。</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技术参数响应情况</w:t>
            </w:r>
          </w:p>
        </w:tc>
        <w:tc>
          <w:tcPr>
            <w:tcW w:type="dxa" w:w="3115"/>
          </w:tcPr>
          <w:p>
            <w:pPr>
              <w:pStyle w:val="null5"/>
              <w:jc w:val="left"/>
            </w:pPr>
            <w:r>
              <w:rPr>
                <w:rFonts w:ascii="仿宋_GB2312" w:hAnsi="仿宋_GB2312" w:cs="仿宋_GB2312" w:eastAsia="仿宋_GB2312"/>
              </w:rPr>
              <w:t>重要技术参数“★”一项不满足为无效投标；一般性技术参数一项不满足扣1分，扣完为止。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投标产品整体质量状况（1）</w:t>
            </w:r>
          </w:p>
        </w:tc>
        <w:tc>
          <w:tcPr>
            <w:tcW w:type="dxa" w:w="3115"/>
          </w:tcPr>
          <w:p>
            <w:pPr>
              <w:pStyle w:val="null5"/>
              <w:jc w:val="left"/>
            </w:pPr>
            <w:r>
              <w:rPr>
                <w:rFonts w:ascii="仿宋_GB2312" w:hAnsi="仿宋_GB2312" w:cs="仿宋_GB2312" w:eastAsia="仿宋_GB2312"/>
              </w:rPr>
              <w:t>投标产品整体质量状况完全满足用户要求，得0～5分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投标产品整体质量状况（2）</w:t>
            </w:r>
          </w:p>
        </w:tc>
        <w:tc>
          <w:tcPr>
            <w:tcW w:type="dxa" w:w="3115"/>
          </w:tcPr>
          <w:p>
            <w:pPr>
              <w:pStyle w:val="null5"/>
              <w:jc w:val="left"/>
            </w:pPr>
            <w:r>
              <w:rPr>
                <w:rFonts w:ascii="仿宋_GB2312" w:hAnsi="仿宋_GB2312" w:cs="仿宋_GB2312" w:eastAsia="仿宋_GB2312"/>
              </w:rPr>
              <w:t>提供使用优质原辅料、佐剂的近一年的购买发票和供货合同，得5分，不提供的不得分；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投标产品整体质量状况（3）</w:t>
            </w:r>
          </w:p>
        </w:tc>
        <w:tc>
          <w:tcPr>
            <w:tcW w:type="dxa" w:w="3115"/>
          </w:tcPr>
          <w:p>
            <w:pPr>
              <w:pStyle w:val="null5"/>
              <w:jc w:val="left"/>
            </w:pPr>
            <w:r>
              <w:rPr>
                <w:rFonts w:ascii="仿宋_GB2312" w:hAnsi="仿宋_GB2312" w:cs="仿宋_GB2312" w:eastAsia="仿宋_GB2312"/>
              </w:rPr>
              <w:t>投标产品批生产、批检验相关技术资料齐全，得0～5分.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投标产品可操作性（1）</w:t>
            </w:r>
          </w:p>
        </w:tc>
        <w:tc>
          <w:tcPr>
            <w:tcW w:type="dxa" w:w="3115"/>
          </w:tcPr>
          <w:p>
            <w:pPr>
              <w:pStyle w:val="null5"/>
              <w:jc w:val="left"/>
            </w:pPr>
            <w:r>
              <w:rPr>
                <w:rFonts w:ascii="仿宋_GB2312" w:hAnsi="仿宋_GB2312" w:cs="仿宋_GB2312" w:eastAsia="仿宋_GB2312"/>
              </w:rPr>
              <w:t>提供投标产品具有安全性、稳定性的佐证材料，得0～5分；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投标产品可操作性（2）</w:t>
            </w:r>
          </w:p>
        </w:tc>
        <w:tc>
          <w:tcPr>
            <w:tcW w:type="dxa" w:w="3115"/>
          </w:tcPr>
          <w:p>
            <w:pPr>
              <w:pStyle w:val="null5"/>
              <w:jc w:val="left"/>
            </w:pPr>
            <w:r>
              <w:rPr>
                <w:rFonts w:ascii="仿宋_GB2312" w:hAnsi="仿宋_GB2312" w:cs="仿宋_GB2312" w:eastAsia="仿宋_GB2312"/>
              </w:rPr>
              <w:t>提供投标产品使用效果的佐证材料，得0～5分；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投标产品可操作性（3）</w:t>
            </w:r>
          </w:p>
        </w:tc>
        <w:tc>
          <w:tcPr>
            <w:tcW w:type="dxa" w:w="3115"/>
          </w:tcPr>
          <w:p>
            <w:pPr>
              <w:pStyle w:val="null5"/>
              <w:jc w:val="left"/>
            </w:pPr>
            <w:r>
              <w:rPr>
                <w:rFonts w:ascii="仿宋_GB2312" w:hAnsi="仿宋_GB2312" w:cs="仿宋_GB2312" w:eastAsia="仿宋_GB2312"/>
              </w:rPr>
              <w:t>投标产品免疫过程简便、易操作，产品包装科学合理，保障防疫人员和牲 畜安全，得0～5分.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投标企业状况（1）</w:t>
            </w:r>
          </w:p>
        </w:tc>
        <w:tc>
          <w:tcPr>
            <w:tcW w:type="dxa" w:w="3115"/>
          </w:tcPr>
          <w:p>
            <w:pPr>
              <w:pStyle w:val="null5"/>
              <w:jc w:val="left"/>
            </w:pPr>
            <w:r>
              <w:rPr>
                <w:rFonts w:ascii="仿宋_GB2312" w:hAnsi="仿宋_GB2312" w:cs="仿宋_GB2312" w:eastAsia="仿宋_GB2312"/>
              </w:rPr>
              <w:t>投标企业工艺设备先进合理，提供主要生产设备清单和生产区照片，得0～3分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投标企业状况（2）</w:t>
            </w:r>
          </w:p>
        </w:tc>
        <w:tc>
          <w:tcPr>
            <w:tcW w:type="dxa" w:w="3115"/>
          </w:tcPr>
          <w:p>
            <w:pPr>
              <w:pStyle w:val="null5"/>
              <w:jc w:val="left"/>
            </w:pPr>
            <w:r>
              <w:rPr>
                <w:rFonts w:ascii="仿宋_GB2312" w:hAnsi="仿宋_GB2312" w:cs="仿宋_GB2312" w:eastAsia="仿宋_GB2312"/>
              </w:rPr>
              <w:t>投标企业提供质量管理体系建设情况及技术团队配置情况等佐证材料，得 0～7分；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投标企业状况（3）</w:t>
            </w:r>
          </w:p>
        </w:tc>
        <w:tc>
          <w:tcPr>
            <w:tcW w:type="dxa" w:w="3115"/>
          </w:tcPr>
          <w:p>
            <w:pPr>
              <w:pStyle w:val="null5"/>
              <w:jc w:val="left"/>
            </w:pPr>
            <w:r>
              <w:rPr>
                <w:rFonts w:ascii="仿宋_GB2312" w:hAnsi="仿宋_GB2312" w:cs="仿宋_GB2312" w:eastAsia="仿宋_GB2312"/>
              </w:rPr>
              <w:t>投标企业产品冷链运输保障完善、合理，完全满足用户需求的，并提供方案和措施的得0～5分。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2024年2月至今同类产品业绩，提供采购合同，每提供1份得0.5分，最多得6分。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售后服务承诺</w:t>
            </w:r>
          </w:p>
        </w:tc>
        <w:tc>
          <w:tcPr>
            <w:tcW w:type="dxa" w:w="3115"/>
          </w:tcPr>
          <w:p>
            <w:pPr>
              <w:pStyle w:val="null5"/>
              <w:jc w:val="left"/>
            </w:pPr>
            <w:r>
              <w:rPr>
                <w:rFonts w:ascii="仿宋_GB2312" w:hAnsi="仿宋_GB2312" w:cs="仿宋_GB2312" w:eastAsia="仿宋_GB2312"/>
              </w:rPr>
              <w:t>针对本项目提供的疫苗售后服务承诺得1分，未提供不得分。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服务体系</w:t>
            </w:r>
          </w:p>
        </w:tc>
        <w:tc>
          <w:tcPr>
            <w:tcW w:type="dxa" w:w="3115"/>
          </w:tcPr>
          <w:p>
            <w:pPr>
              <w:pStyle w:val="null5"/>
              <w:jc w:val="left"/>
            </w:pPr>
            <w:r>
              <w:rPr>
                <w:rFonts w:ascii="仿宋_GB2312" w:hAnsi="仿宋_GB2312" w:cs="仿宋_GB2312" w:eastAsia="仿宋_GB2312"/>
              </w:rPr>
              <w:t>企业提供详细的服务机构、服务地址、联系人及联系电话得1分，有一项不提供不得分。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副反应处置方案</w:t>
            </w:r>
          </w:p>
        </w:tc>
        <w:tc>
          <w:tcPr>
            <w:tcW w:type="dxa" w:w="3115"/>
          </w:tcPr>
          <w:p>
            <w:pPr>
              <w:pStyle w:val="null5"/>
              <w:jc w:val="left"/>
            </w:pPr>
            <w:r>
              <w:rPr>
                <w:rFonts w:ascii="仿宋_GB2312" w:hAnsi="仿宋_GB2312" w:cs="仿宋_GB2312" w:eastAsia="仿宋_GB2312"/>
              </w:rPr>
              <w:t>（1）出现疫苗副反应后，承诺24小时内到场得2分，48小时内得1分；（2）一周内处置完成得2分，两周内处置完成得1分，超过两周的不得分。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培训方案（1）</w:t>
            </w:r>
          </w:p>
        </w:tc>
        <w:tc>
          <w:tcPr>
            <w:tcW w:type="dxa" w:w="3115"/>
          </w:tcPr>
          <w:p>
            <w:pPr>
              <w:pStyle w:val="null5"/>
              <w:jc w:val="left"/>
            </w:pPr>
            <w:r>
              <w:rPr>
                <w:rFonts w:ascii="仿宋_GB2312" w:hAnsi="仿宋_GB2312" w:cs="仿宋_GB2312" w:eastAsia="仿宋_GB2312"/>
              </w:rPr>
              <w:t>提供培训方案详尽、合理，满足采购人需求的得1分。</w:t>
            </w:r>
          </w:p>
        </w:tc>
        <w:tc>
          <w:tcPr>
            <w:tcW w:type="dxa" w:w="1038"/>
          </w:tcPr>
          <w:p>
            <w:pPr>
              <w:pStyle w:val="null5"/>
              <w:jc w:val="right"/>
            </w:pPr>
            <w:r>
              <w:rPr>
                <w:rFonts w:ascii="仿宋_GB2312" w:hAnsi="仿宋_GB2312" w:cs="仿宋_GB2312" w:eastAsia="仿宋_GB2312"/>
              </w:rPr>
              <w:t>1.00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培训方案（2）</w:t>
            </w:r>
          </w:p>
        </w:tc>
        <w:tc>
          <w:tcPr>
            <w:tcW w:type="dxa" w:w="3115"/>
          </w:tcPr>
          <w:p>
            <w:pPr>
              <w:pStyle w:val="null5"/>
              <w:jc w:val="left"/>
            </w:pPr>
            <w:r>
              <w:rPr>
                <w:rFonts w:ascii="仿宋_GB2312" w:hAnsi="仿宋_GB2312" w:cs="仿宋_GB2312" w:eastAsia="仿宋_GB2312"/>
              </w:rPr>
              <w:t>提供近2年（2023年2月至今）培训情况得0～3分。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w:t>
            </w:r>
          </w:p>
        </w:tc>
        <w:tc>
          <w:tcPr>
            <w:tcW w:type="dxa" w:w="3115"/>
          </w:tcPr>
          <w:p>
            <w:pPr>
              <w:pStyle w:val="null5"/>
              <w:jc w:val="left"/>
            </w:pPr>
            <w:r>
              <w:rPr>
                <w:rFonts w:ascii="仿宋_GB2312" w:hAnsi="仿宋_GB2312" w:cs="仿宋_GB2312" w:eastAsia="仿宋_GB2312"/>
              </w:rPr>
              <w:t>用户评价按0～4分评价。</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采购包5：</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