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内蒙古自治区应对气候变化与低碳发展技术支持项目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内蒙古自治区生态环境低碳发展中心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内蒙古亿和全过程工程项目管理有限公司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NMGZCS-C-F-250050</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内蒙古亿和全过程工程项目管理有限公司</w:t>
      </w:r>
      <w:r>
        <w:rPr>
          <w:rFonts w:ascii="仿宋_GB2312" w:hAnsi="仿宋_GB2312" w:cs="仿宋_GB2312" w:eastAsia="仿宋_GB2312"/>
        </w:rPr>
        <w:t xml:space="preserve"> 受 </w:t>
      </w:r>
      <w:r>
        <w:rPr>
          <w:rFonts w:ascii="仿宋_GB2312" w:hAnsi="仿宋_GB2312" w:cs="仿宋_GB2312" w:eastAsia="仿宋_GB2312"/>
        </w:rPr>
        <w:t>内蒙古自治区生态环境低碳发展中心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内蒙古自治区应对气候变化与低碳发展技术支持项目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内蒙古自治区应对气候变化与低碳发展技术支持项目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NMGZCS-C-F-250050</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内政采计划[2025]03194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550,000.00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内蒙古自治区美丽乡村人工林贡献固碳增汇精准核算方法与生态旅游区碳普惠制实践路径研究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550,000.00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内蒙古生态文明共建试验区禁牧减排项目碳汇方法学与跨境碳交易实施建议和行动计划研究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内蒙古亿和全过程工程项目管理有限公司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内蒙古自治区呼和浩特市赛罕区新华汇B座1510室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李春杰 侍利峰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0471-3489911 18586203712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内蒙古自治区生态环境低碳发展中心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呼和浩特市赛罕区腾飞路39号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4632155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代理服务费收费标准：参照原《内蒙古自治区建设工程招标代理服务收费指导意见》（内工建协[2022]34号）规定的标准计算。</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p>
            <w:pPr>
              <w:pStyle w:val="null5"/>
              <w:jc w:val="left"/>
            </w:pPr>
            <w:r>
              <w:rPr>
                <w:rFonts w:ascii="仿宋_GB2312" w:hAnsi="仿宋_GB2312" w:cs="仿宋_GB2312" w:eastAsia="仿宋_GB2312"/>
              </w:rPr>
              <w:t>采购包2：不属于专门面向中小企业采购。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内蒙古自治区生态环境低碳发展中心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内蒙古亿和全过程工程项目管理有限公司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包1：内蒙古自治区美丽乡村人工林贡献固碳增汇精准核算方法与生态旅游区碳普惠制实践路径研究； 包2：内蒙古生态文明共建试验区禁牧减排项目碳汇方法学与跨境碳交易实施建议和行动计划研究。</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合同签订后至12月15日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呼和浩特市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1、合同签订后，成交供应商按采购人要求提供真实、合法有效的正规发票10日内，甲方依照财政结算流程办理支付，达到付款条件起10日，支付合同总金额的35.00%</w:t>
            </w:r>
          </w:p>
          <w:p>
            <w:pPr>
              <w:pStyle w:val="null5"/>
              <w:jc w:val="left"/>
            </w:pPr>
            <w:r>
              <w:rPr>
                <w:rFonts w:ascii="仿宋_GB2312" w:hAnsi="仿宋_GB2312" w:cs="仿宋_GB2312" w:eastAsia="仿宋_GB2312"/>
              </w:rPr>
              <w:t>2、项目完成中期评估后，成交供应商按采购人要求提供真实、合法有效的正规发票10日内，甲方依照财政结算流程办理支付，达到付款条件起10日，支付合同总金额的45.00%</w:t>
            </w:r>
          </w:p>
          <w:p>
            <w:pPr>
              <w:pStyle w:val="null5"/>
              <w:jc w:val="left"/>
            </w:pPr>
            <w:r>
              <w:rPr>
                <w:rFonts w:ascii="仿宋_GB2312" w:hAnsi="仿宋_GB2312" w:cs="仿宋_GB2312" w:eastAsia="仿宋_GB2312"/>
              </w:rPr>
              <w:t>3、项目完成终期验收后，成交供应商按采购人要求提供真实、合法有效的正规发票10日内，甲方依照财政结算流程办理支付，达到付款条件起10日，支付合同总金额的20.00%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合同签订后至12月15日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呼和浩特市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1、合同签订后，成交供应商按采购人要求提供真实、合法有效的正规发票10日内，甲方依照财政结算流程办理支付，达到付款条件起10日，支付合同总金额的35.00%</w:t>
            </w:r>
          </w:p>
          <w:p>
            <w:pPr>
              <w:pStyle w:val="null5"/>
              <w:jc w:val="left"/>
            </w:pPr>
            <w:r>
              <w:rPr>
                <w:rFonts w:ascii="仿宋_GB2312" w:hAnsi="仿宋_GB2312" w:cs="仿宋_GB2312" w:eastAsia="仿宋_GB2312"/>
              </w:rPr>
              <w:t>2、项目完成中期评估后，成交供应商按采购人要求提供真实、合法有效的正规发票10日内，甲方依照财政结算流程办理支付，达到付款条件起10日，支付合同总金额的45.00%</w:t>
            </w:r>
          </w:p>
          <w:p>
            <w:pPr>
              <w:pStyle w:val="null5"/>
              <w:jc w:val="left"/>
            </w:pPr>
            <w:r>
              <w:rPr>
                <w:rFonts w:ascii="仿宋_GB2312" w:hAnsi="仿宋_GB2312" w:cs="仿宋_GB2312" w:eastAsia="仿宋_GB2312"/>
              </w:rPr>
              <w:t>3、项目完成终期验收后，成交供应商按采购人要求提供真实、合法有效的正规发票10日内，甲方依照财政结算流程办理支付，达到付款条件起10日，支付合同总金额的20.00%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标的名称：内蒙古自治区美丽乡村人工林贡献固碳增汇精准核算方法与生态旅游区碳普惠制实践路径研究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640"/>
              <w:jc w:val="both"/>
            </w:pPr>
            <w:r>
              <w:rPr>
                <w:rFonts w:ascii="仿宋_GB2312" w:hAnsi="仿宋_GB2312" w:cs="仿宋_GB2312" w:eastAsia="仿宋_GB2312"/>
                <w:sz w:val="32"/>
              </w:rPr>
              <w:t>内容：</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内蒙古自治区美丽山川建设生态修复工程实施情况梳理和适应气候变化技术措施数据库建设；</w:t>
            </w:r>
          </w:p>
          <w:p>
            <w:pPr>
              <w:pStyle w:val="null5"/>
              <w:ind w:firstLine="640"/>
              <w:jc w:val="both"/>
            </w:pPr>
            <w:r>
              <w:rPr>
                <w:rFonts w:ascii="仿宋_GB2312" w:hAnsi="仿宋_GB2312" w:cs="仿宋_GB2312" w:eastAsia="仿宋_GB2312"/>
                <w:sz w:val="32"/>
              </w:rPr>
              <w:t>2.基于三维激光雷达遥感和地面调查的典型美丽乡村人工林贡献固碳增汇精准核算方法研究；</w:t>
            </w:r>
          </w:p>
          <w:p>
            <w:pPr>
              <w:pStyle w:val="null5"/>
              <w:ind w:firstLine="640"/>
              <w:jc w:val="both"/>
            </w:pPr>
            <w:r>
              <w:rPr>
                <w:rFonts w:ascii="仿宋_GB2312" w:hAnsi="仿宋_GB2312" w:cs="仿宋_GB2312" w:eastAsia="仿宋_GB2312"/>
                <w:sz w:val="32"/>
              </w:rPr>
              <w:t>3.内蒙古自治区典型国家森林公园生态旅游区碳普惠制实践路径研究。</w:t>
            </w:r>
          </w:p>
          <w:p>
            <w:pPr>
              <w:pStyle w:val="null5"/>
              <w:ind w:firstLine="640"/>
              <w:jc w:val="both"/>
            </w:pPr>
            <w:r>
              <w:rPr>
                <w:rFonts w:ascii="仿宋_GB2312" w:hAnsi="仿宋_GB2312" w:cs="仿宋_GB2312" w:eastAsia="仿宋_GB2312"/>
                <w:sz w:val="32"/>
              </w:rPr>
              <w:t>形成</w:t>
            </w:r>
            <w:r>
              <w:rPr>
                <w:rFonts w:ascii="仿宋_GB2312" w:hAnsi="仿宋_GB2312" w:cs="仿宋_GB2312" w:eastAsia="仿宋_GB2312"/>
                <w:sz w:val="32"/>
              </w:rPr>
              <w:t>2份报告</w:t>
            </w:r>
          </w:p>
          <w:p>
            <w:pPr>
              <w:pStyle w:val="null5"/>
              <w:ind w:firstLine="640"/>
              <w:jc w:val="both"/>
            </w:pPr>
            <w:r>
              <w:rPr>
                <w:rFonts w:ascii="仿宋_GB2312" w:hAnsi="仿宋_GB2312" w:cs="仿宋_GB2312" w:eastAsia="仿宋_GB2312"/>
                <w:sz w:val="32"/>
              </w:rPr>
              <w:t>1.内蒙古自治区典型美丽乡村人工林贡献固碳增汇精准核算方法研究报告。</w:t>
            </w:r>
          </w:p>
          <w:p>
            <w:pPr>
              <w:pStyle w:val="null5"/>
              <w:ind w:firstLine="640"/>
              <w:jc w:val="both"/>
            </w:pPr>
            <w:r>
              <w:rPr>
                <w:rFonts w:ascii="仿宋_GB2312" w:hAnsi="仿宋_GB2312" w:cs="仿宋_GB2312" w:eastAsia="仿宋_GB2312"/>
                <w:sz w:val="32"/>
              </w:rPr>
              <w:t>2.内蒙古自治区典型国家森林公园生态旅游区碳普惠制实践路径研究报告。</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标的名称：内蒙古生态文明共建试验区禁牧减排项目碳汇方法学与跨境碳交易实施建议和行动计划研究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640"/>
              <w:jc w:val="both"/>
            </w:pPr>
            <w:r>
              <w:rPr>
                <w:rFonts w:ascii="仿宋_GB2312" w:hAnsi="仿宋_GB2312" w:cs="仿宋_GB2312" w:eastAsia="仿宋_GB2312"/>
                <w:sz w:val="32"/>
              </w:rPr>
              <w:t>内容：</w:t>
            </w:r>
            <w:r>
              <w:rPr>
                <w:rFonts w:ascii="仿宋_GB2312" w:hAnsi="仿宋_GB2312" w:cs="仿宋_GB2312" w:eastAsia="仿宋_GB2312"/>
                <w:sz w:val="32"/>
              </w:rPr>
              <w:t>1.利用碳汇模型，评估不同禁牧措施对草原碳汇的潜力，计算其碳减排效果和经济效益。对比分析国内外草原碳汇方法学禁牧减排项目碳汇方法学，评估其在不同区域的适用性和效果；对比分析畜牧业碳排放核算范围和方法，对比不同方法学使用的参数和模型，分析其优缺点，为制定适合中蒙边界地区的禁牧减排草原碳汇方法学提供参考；2.总结国内外成功的禁牧减排同类型项目方法学的案例，提炼出适用于本项目的最佳实践和经验。根据对比分析结果，研究适合中蒙毗邻草原区的减排增汇项目方法学，并提升其科学性和可操作性；3.系统性地分析禁牧减排项目碳汇方法学的具体内容，并结合前期课题文献及实地调研成果，提出可行的中蒙跨境碳交易实施建议和行动计划，推动中蒙跨境碳交易机制的建立和发展。</w:t>
            </w:r>
          </w:p>
          <w:p>
            <w:pPr>
              <w:pStyle w:val="null5"/>
              <w:ind w:firstLine="640"/>
              <w:jc w:val="both"/>
            </w:pPr>
            <w:r>
              <w:rPr>
                <w:rFonts w:ascii="仿宋_GB2312" w:hAnsi="仿宋_GB2312" w:cs="仿宋_GB2312" w:eastAsia="仿宋_GB2312"/>
                <w:sz w:val="32"/>
              </w:rPr>
              <w:t>形成</w:t>
            </w:r>
            <w:r>
              <w:rPr>
                <w:rFonts w:ascii="仿宋_GB2312" w:hAnsi="仿宋_GB2312" w:cs="仿宋_GB2312" w:eastAsia="仿宋_GB2312"/>
                <w:sz w:val="32"/>
              </w:rPr>
              <w:t>2份报告：</w:t>
            </w:r>
          </w:p>
          <w:p>
            <w:pPr>
              <w:pStyle w:val="null5"/>
              <w:ind w:firstLine="640"/>
              <w:jc w:val="both"/>
            </w:pPr>
            <w:r>
              <w:rPr>
                <w:rFonts w:ascii="仿宋_GB2312" w:hAnsi="仿宋_GB2312" w:cs="仿宋_GB2312" w:eastAsia="仿宋_GB2312"/>
                <w:sz w:val="32"/>
              </w:rPr>
              <w:t>1.中蒙生态文明共建试验区禁牧减排项目碳汇方法学研究</w:t>
            </w:r>
          </w:p>
          <w:p>
            <w:pPr>
              <w:pStyle w:val="null5"/>
              <w:ind w:firstLine="640"/>
              <w:jc w:val="both"/>
            </w:pPr>
            <w:r>
              <w:rPr>
                <w:rFonts w:ascii="仿宋_GB2312" w:hAnsi="仿宋_GB2312" w:cs="仿宋_GB2312" w:eastAsia="仿宋_GB2312"/>
                <w:sz w:val="32"/>
              </w:rPr>
              <w:t>2.中蒙跨境碳交易实施建议和行动计划</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技术部分78.00分</w:t>
            </w:r>
          </w:p>
          <w:p>
            <w:pPr>
              <w:pStyle w:val="null5"/>
              <w:jc w:val="left"/>
            </w:pPr>
            <w:r>
              <w:rPr>
                <w:rFonts w:ascii="仿宋_GB2312" w:hAnsi="仿宋_GB2312" w:cs="仿宋_GB2312" w:eastAsia="仿宋_GB2312"/>
              </w:rPr>
              <w:t>商务部分12.00分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对项目的理解及需求分析</w:t>
            </w:r>
          </w:p>
        </w:tc>
        <w:tc>
          <w:tcPr>
            <w:tcW w:type="dxa" w:w="3115"/>
          </w:tcPr>
          <w:p>
            <w:pPr>
              <w:pStyle w:val="null5"/>
              <w:jc w:val="left"/>
            </w:pPr>
            <w:r>
              <w:rPr>
                <w:rFonts w:ascii="仿宋_GB2312" w:hAnsi="仿宋_GB2312" w:cs="仿宋_GB2312" w:eastAsia="仿宋_GB2312"/>
              </w:rPr>
              <w:t>根据供应商提供的对项目的理解及需求分析进行评审： 供应商熟悉气候变化技术措施数据库建设及生态旅游区碳普惠制实践路径研究： 1、方案详实、完善的得5分； 2、方案合理、规范性的得5分； 3、方案针对性强、可操作性高满足实际情况的得5分： 4、方案计划清晰，研究过程中存在的重点、关键点分析与解决措施的得5分。 以上每一小项内容只有简单描述无实质性内容、不符合本项目需求的得2分。未提供不得分。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技术服务方案</w:t>
            </w:r>
          </w:p>
        </w:tc>
        <w:tc>
          <w:tcPr>
            <w:tcW w:type="dxa" w:w="3115"/>
          </w:tcPr>
          <w:p>
            <w:pPr>
              <w:pStyle w:val="null5"/>
              <w:jc w:val="left"/>
            </w:pPr>
            <w:r>
              <w:rPr>
                <w:rFonts w:ascii="仿宋_GB2312" w:hAnsi="仿宋_GB2312" w:cs="仿宋_GB2312" w:eastAsia="仿宋_GB2312"/>
              </w:rPr>
              <w:t>根据供应商提供的技术服务方案进行评审： 1、技术服务方案内容完整详细，不漏项的得5分； 2、技术服务方案根据项目特点编制，内容方法科学合理、针对性强的得5分； 3、项目实施各阶段任务明确、工作内容衔接紧密、操作性较强，可高质量完成相关服务内容并交付的得5分。 以上每一小项内容只有简单描述无实质性内容、不符合本项目需求的得2分。未提供不得分。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人员配备方案</w:t>
            </w:r>
          </w:p>
        </w:tc>
        <w:tc>
          <w:tcPr>
            <w:tcW w:type="dxa" w:w="3115"/>
          </w:tcPr>
          <w:p>
            <w:pPr>
              <w:pStyle w:val="null5"/>
              <w:jc w:val="left"/>
            </w:pPr>
            <w:r>
              <w:rPr>
                <w:rFonts w:ascii="仿宋_GB2312" w:hAnsi="仿宋_GB2312" w:cs="仿宋_GB2312" w:eastAsia="仿宋_GB2312"/>
              </w:rPr>
              <w:t>根据供应商针对本项目拟派的项目组人员配置情况进行评审： 1、专业人员充足、专业配备齐全，得4分； 2、项目组人员管理制度完善，得4分： 3 、项目组人员熟悉气候变化技术措施数据库建设及生态旅游区碳普惠制实践路径研究，相关研究经验丰富、职责分工合理明确，得5分； 以上每一小项内容只有简单描述无实质性内容、不符合本项目需求的得2分。未提供不得分。</w:t>
            </w:r>
          </w:p>
        </w:tc>
        <w:tc>
          <w:tcPr>
            <w:tcW w:type="dxa" w:w="1038"/>
          </w:tcPr>
          <w:p>
            <w:pPr>
              <w:pStyle w:val="null5"/>
              <w:jc w:val="right"/>
            </w:pPr>
            <w:r>
              <w:rPr>
                <w:rFonts w:ascii="仿宋_GB2312" w:hAnsi="仿宋_GB2312" w:cs="仿宋_GB2312" w:eastAsia="仿宋_GB2312"/>
              </w:rPr>
              <w:t>13.00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工作流程</w:t>
            </w:r>
          </w:p>
        </w:tc>
        <w:tc>
          <w:tcPr>
            <w:tcW w:type="dxa" w:w="3115"/>
          </w:tcPr>
          <w:p>
            <w:pPr>
              <w:pStyle w:val="null5"/>
              <w:jc w:val="left"/>
            </w:pPr>
            <w:r>
              <w:rPr>
                <w:rFonts w:ascii="仿宋_GB2312" w:hAnsi="仿宋_GB2312" w:cs="仿宋_GB2312" w:eastAsia="仿宋_GB2312"/>
              </w:rPr>
              <w:t>工作流程、服务程序及标准方案科学合理；具有健全完善的各项规章制度、内部管理和监督制度等进行评分； 1、供应商服务过程中对相关资料的保密措施详细到位的得5分； 2、内部管理和监督制度等方案针对性强的得5分； 以上每一小项内容只有简单描述无实质性内容、不符合本项目需求的得2分。未提供不得分。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重点、难点分析及合理化建议</w:t>
            </w:r>
          </w:p>
        </w:tc>
        <w:tc>
          <w:tcPr>
            <w:tcW w:type="dxa" w:w="3115"/>
          </w:tcPr>
          <w:p>
            <w:pPr>
              <w:pStyle w:val="null5"/>
              <w:jc w:val="left"/>
            </w:pPr>
            <w:r>
              <w:rPr>
                <w:rFonts w:ascii="仿宋_GB2312" w:hAnsi="仿宋_GB2312" w:cs="仿宋_GB2312" w:eastAsia="仿宋_GB2312"/>
              </w:rPr>
              <w:t>根据供应商针对本项目的重点、难点分析及合理化建议进行评审： 1、供应商对本项目重点、难点分析合理、完善、到位，得5分； 2、供应商针对本项目重点、难点结合类似经验提出科学合理、操作性强、有创新性的对策措施，能够针对本项目实际情况提出切实可行优化建议的，得5分。 以上每一小项内容只有简单描述无实质性内容、不符合本项目需求的得2分。未提供不得分。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进度计划保证措施</w:t>
            </w:r>
          </w:p>
        </w:tc>
        <w:tc>
          <w:tcPr>
            <w:tcW w:type="dxa" w:w="3115"/>
          </w:tcPr>
          <w:p>
            <w:pPr>
              <w:pStyle w:val="null5"/>
              <w:jc w:val="left"/>
            </w:pPr>
            <w:r>
              <w:rPr>
                <w:rFonts w:ascii="仿宋_GB2312" w:hAnsi="仿宋_GB2312" w:cs="仿宋_GB2312" w:eastAsia="仿宋_GB2312"/>
              </w:rPr>
              <w:t>根据供应商提供的对本项目工作进度计划保证措施（需要供应商结合各阶段人员配置进行响应）进行评分： 1、针对本项目提供的进度计划科学合理完善的得5分； 2、对履行工作进度计划中可能出现偏差的情况分析全面，且有针对性纠偏措施的得5分。 以上每一小项内容只有简单描述无实质性内容、不符合本项目需求的得2分。未提供不得分。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人员要求</w:t>
            </w:r>
          </w:p>
        </w:tc>
        <w:tc>
          <w:tcPr>
            <w:tcW w:type="dxa" w:w="3115"/>
          </w:tcPr>
          <w:p>
            <w:pPr>
              <w:pStyle w:val="null5"/>
              <w:jc w:val="left"/>
            </w:pPr>
            <w:r>
              <w:rPr>
                <w:rFonts w:ascii="仿宋_GB2312" w:hAnsi="仿宋_GB2312" w:cs="仿宋_GB2312" w:eastAsia="仿宋_GB2312"/>
              </w:rPr>
              <w:t>项目团队人员具有正高级证书（生态环境类）每提供一人得1分 ，最多4分； 注：须提供有效的职称证书原件的复印件（加盖公章），未提供不得分。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供应商近年内（2021年1月1日至今）承接过类似业绩，每提供一项得2分， 本项最多得8分。 计分依据：以合同协议书或项目任务书原件的复印件（ 加盖公章）或相关有效证明材料为计分依据；合同须提供首页、签字盖章页等关键页面。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对项目的理解及需求分析</w:t>
            </w:r>
          </w:p>
        </w:tc>
        <w:tc>
          <w:tcPr>
            <w:tcW w:type="dxa" w:w="3115"/>
          </w:tcPr>
          <w:p>
            <w:pPr>
              <w:pStyle w:val="null5"/>
              <w:jc w:val="left"/>
            </w:pPr>
            <w:r>
              <w:rPr>
                <w:rFonts w:ascii="仿宋_GB2312" w:hAnsi="仿宋_GB2312" w:cs="仿宋_GB2312" w:eastAsia="仿宋_GB2312"/>
              </w:rPr>
              <w:t>根据供应商提供的对项目的理解及需求分析进行评审： 供应商熟悉禁牧减排项目碳汇方法学研究： 1、方案详实、完善的得5分； 2、方案合理、规范性的得5分； 3、方案针对性强、可操作性高满足实际情况的得5分： 4、方案计划清晰，研究过程中存在的重点、关键点分析与解决措施的得5分。 以上每一小项内容只有简单描述无实质性内容、不符合本项目需求的得2分。未提供不得分。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技术服务方案</w:t>
            </w:r>
          </w:p>
        </w:tc>
        <w:tc>
          <w:tcPr>
            <w:tcW w:type="dxa" w:w="3115"/>
          </w:tcPr>
          <w:p>
            <w:pPr>
              <w:pStyle w:val="null5"/>
              <w:jc w:val="left"/>
            </w:pPr>
            <w:r>
              <w:rPr>
                <w:rFonts w:ascii="仿宋_GB2312" w:hAnsi="仿宋_GB2312" w:cs="仿宋_GB2312" w:eastAsia="仿宋_GB2312"/>
              </w:rPr>
              <w:t>根据供应商提供的技术服务方案进行评审： 1、技术服务方案内容完整详细，不漏项的得5分； 2、技术服务方案根据项目特点编制，内容方法科学合理、针对性强的得5分； 3、项目实施各阶段任务明确、工作内容衔接紧密、操作性较强，可高质量完成相关服务内容并交付的得5分。 以上每一小项内容只有简单描述无实质性内容、不符合本项目需求的得2分。未提供不得分。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人员配备方案</w:t>
            </w:r>
          </w:p>
        </w:tc>
        <w:tc>
          <w:tcPr>
            <w:tcW w:type="dxa" w:w="3115"/>
          </w:tcPr>
          <w:p>
            <w:pPr>
              <w:pStyle w:val="null5"/>
              <w:jc w:val="left"/>
            </w:pPr>
            <w:r>
              <w:rPr>
                <w:rFonts w:ascii="仿宋_GB2312" w:hAnsi="仿宋_GB2312" w:cs="仿宋_GB2312" w:eastAsia="仿宋_GB2312"/>
              </w:rPr>
              <w:t>根据供应商针对本项目拟派的项目组人员配置情况进行评审： 1、专业人员充足、专业配备齐全，得3分； 2、项目组人员管理制度完善，得3分： 3 、项目组人员熟悉禁牧减排项目碳汇方法学研究，经验丰富、职责分工合理明确，得4分； 以上每一小项内容只有简单描述无实质性内容、不符合本项目需求的得2分。未提供不得分。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工作流程</w:t>
            </w:r>
          </w:p>
        </w:tc>
        <w:tc>
          <w:tcPr>
            <w:tcW w:type="dxa" w:w="3115"/>
          </w:tcPr>
          <w:p>
            <w:pPr>
              <w:pStyle w:val="null5"/>
              <w:jc w:val="left"/>
            </w:pPr>
            <w:r>
              <w:rPr>
                <w:rFonts w:ascii="仿宋_GB2312" w:hAnsi="仿宋_GB2312" w:cs="仿宋_GB2312" w:eastAsia="仿宋_GB2312"/>
              </w:rPr>
              <w:t>工作流程、服务程序及标准方案科学合理；具有健全完善的各项规章制度、内部管理和监督制度等进行评分； 1、供应商服务过程中对相关资料的保密措施详细到位的得5分； 2、内部管理和监督制度等方案针对性强的得5分； 以上每一小项内容只有简单描述无实质性内容、不符合本项目需求的得2分。未提供不得分。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重点、难点分析及合理化建议</w:t>
            </w:r>
          </w:p>
        </w:tc>
        <w:tc>
          <w:tcPr>
            <w:tcW w:type="dxa" w:w="3115"/>
          </w:tcPr>
          <w:p>
            <w:pPr>
              <w:pStyle w:val="null5"/>
              <w:jc w:val="left"/>
            </w:pPr>
            <w:r>
              <w:rPr>
                <w:rFonts w:ascii="仿宋_GB2312" w:hAnsi="仿宋_GB2312" w:cs="仿宋_GB2312" w:eastAsia="仿宋_GB2312"/>
              </w:rPr>
              <w:t>根据供应商针对本项目的重点、难点分析及合理化建议进行评审： 1、供应商对本项目重点、难点分析合理、完善、到位，得5分； 2、供应商针对本项目重点、难点结合类似经验提出科学合理、操作性强、有创新性的对策措施，能够针对本项目实际情况提出切实可行优化建议的，得5分。 以上每一小项内容只有简单描述无实质性内容、不符合本项目需求的得2分。未提供不得分。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进度计划保证措施</w:t>
            </w:r>
          </w:p>
        </w:tc>
        <w:tc>
          <w:tcPr>
            <w:tcW w:type="dxa" w:w="3115"/>
          </w:tcPr>
          <w:p>
            <w:pPr>
              <w:pStyle w:val="null5"/>
              <w:jc w:val="left"/>
            </w:pPr>
            <w:r>
              <w:rPr>
                <w:rFonts w:ascii="仿宋_GB2312" w:hAnsi="仿宋_GB2312" w:cs="仿宋_GB2312" w:eastAsia="仿宋_GB2312"/>
              </w:rPr>
              <w:t>根据供应商提供的对本项目工作进度计划保证措施（需要供应商结合各阶段人员配置进行响应）进行评分： 1、针对本项目提供的进度计划科学合理完善的得5分； 2、对履行工作进度计划中可能出现偏差的情况分析全面，且有针对性纠偏措施的得5分。 以上每一小项内容只有简单描述无实质性内容、不符合本项目需求的得2分。未提供不得分。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人员要求</w:t>
            </w:r>
          </w:p>
        </w:tc>
        <w:tc>
          <w:tcPr>
            <w:tcW w:type="dxa" w:w="3115"/>
          </w:tcPr>
          <w:p>
            <w:pPr>
              <w:pStyle w:val="null5"/>
              <w:jc w:val="left"/>
            </w:pPr>
            <w:r>
              <w:rPr>
                <w:rFonts w:ascii="仿宋_GB2312" w:hAnsi="仿宋_GB2312" w:cs="仿宋_GB2312" w:eastAsia="仿宋_GB2312"/>
              </w:rPr>
              <w:t>1.项目负责人具有高级及以上职称证书的，并主持过省级及以上项目的得1分；本项最多得3分； 2.项目团队人员具有（环境专业）副高级及以上证书每提供一人得0.5分 ，最多得2分； 注：须提供有效的职称证书原件的复印件（加盖公章），未提供不得分。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奖项</w:t>
            </w:r>
          </w:p>
        </w:tc>
        <w:tc>
          <w:tcPr>
            <w:tcW w:type="dxa" w:w="3115"/>
          </w:tcPr>
          <w:p>
            <w:pPr>
              <w:pStyle w:val="null5"/>
              <w:jc w:val="left"/>
            </w:pPr>
            <w:r>
              <w:rPr>
                <w:rFonts w:ascii="仿宋_GB2312" w:hAnsi="仿宋_GB2312" w:cs="仿宋_GB2312" w:eastAsia="仿宋_GB2312"/>
              </w:rPr>
              <w:t>供应商2020年至今获得过生态环境类相关的省部级及以上奖项每提供一个得1分，最多得2分。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供应商近三年内（2022年1月1日至今）承接过类似业绩，每提供一项得2分， 本项最多得8分。 计分依据：以合同协议书或项目任务书原件的复印件（ 加盖公章）为计分依据；合同须提供首页、签字盖章页等关键页面。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