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3"/>
        <w:gridCol w:w="1248"/>
        <w:gridCol w:w="4481"/>
        <w:gridCol w:w="816"/>
        <w:gridCol w:w="994"/>
      </w:tblGrid>
      <w:tr w14:paraId="5DEBCC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gridSpan w:val="2"/>
            <w:vAlign w:val="center"/>
          </w:tcPr>
          <w:p w14:paraId="2B4B2177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评审因素</w:t>
            </w:r>
          </w:p>
        </w:tc>
        <w:tc>
          <w:tcPr>
            <w:tcW w:w="6291" w:type="dxa"/>
            <w:gridSpan w:val="3"/>
            <w:vAlign w:val="center"/>
          </w:tcPr>
          <w:p w14:paraId="0450119D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评审标准</w:t>
            </w:r>
          </w:p>
        </w:tc>
      </w:tr>
      <w:tr w14:paraId="61C57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31" w:type="dxa"/>
            <w:gridSpan w:val="2"/>
            <w:vAlign w:val="center"/>
          </w:tcPr>
          <w:p w14:paraId="59E7931F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分值构成</w:t>
            </w:r>
          </w:p>
        </w:tc>
        <w:tc>
          <w:tcPr>
            <w:tcW w:w="6291" w:type="dxa"/>
            <w:gridSpan w:val="3"/>
            <w:vAlign w:val="center"/>
          </w:tcPr>
          <w:p w14:paraId="078BF943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技术部分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.00分</w:t>
            </w:r>
          </w:p>
          <w:p w14:paraId="7E60B2EF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商务部分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.00分</w:t>
            </w:r>
          </w:p>
          <w:p w14:paraId="7346A450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报价得分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20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.00分</w:t>
            </w:r>
          </w:p>
        </w:tc>
      </w:tr>
      <w:tr w14:paraId="571C72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55A59548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评审因素分类</w:t>
            </w:r>
          </w:p>
        </w:tc>
        <w:tc>
          <w:tcPr>
            <w:tcW w:w="1248" w:type="dxa"/>
            <w:vAlign w:val="center"/>
          </w:tcPr>
          <w:p w14:paraId="28251B27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评审项</w:t>
            </w:r>
          </w:p>
        </w:tc>
        <w:tc>
          <w:tcPr>
            <w:tcW w:w="4481" w:type="dxa"/>
            <w:vAlign w:val="center"/>
          </w:tcPr>
          <w:p w14:paraId="34DFA914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详细描述</w:t>
            </w:r>
          </w:p>
        </w:tc>
        <w:tc>
          <w:tcPr>
            <w:tcW w:w="816" w:type="dxa"/>
            <w:vAlign w:val="center"/>
          </w:tcPr>
          <w:p w14:paraId="3923D665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分值</w:t>
            </w:r>
          </w:p>
        </w:tc>
        <w:tc>
          <w:tcPr>
            <w:tcW w:w="994" w:type="dxa"/>
            <w:vAlign w:val="center"/>
          </w:tcPr>
          <w:p w14:paraId="16F07934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客观/主观</w:t>
            </w:r>
          </w:p>
        </w:tc>
      </w:tr>
      <w:tr w14:paraId="0970B7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Merge w:val="restart"/>
            <w:vAlign w:val="center"/>
          </w:tcPr>
          <w:p w14:paraId="0470144E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技术评审</w:t>
            </w:r>
          </w:p>
        </w:tc>
        <w:tc>
          <w:tcPr>
            <w:tcW w:w="1248" w:type="dxa"/>
            <w:vAlign w:val="center"/>
          </w:tcPr>
          <w:p w14:paraId="08B9AF4B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总体服务方案</w:t>
            </w:r>
          </w:p>
        </w:tc>
        <w:tc>
          <w:tcPr>
            <w:tcW w:w="4481" w:type="dxa"/>
          </w:tcPr>
          <w:p w14:paraId="05A0ABC3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根据供应商针对本项目提供的总体服务方案进行评审，内容包含但不限于：整体管理服务方案；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服务创新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方案；服务内容措施；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设备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资源配置。</w:t>
            </w:r>
          </w:p>
          <w:p w14:paraId="22E0DDF2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要求响应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完整，逻辑清晰，符合本项目要求得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分，以上内容每缺少一项扣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分， 每项中内容存在缺陷或不足扣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1.5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分，未提供不得分。</w:t>
            </w:r>
          </w:p>
          <w:p w14:paraId="51768BC1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（缺陷或不足指：不适用项目实际情况的情形、凭空编造、内容前后不一致、前后逻 辑错误、涉及的规范及标准失效错误、地点区域错误、内容缺失不足、与本项目无关、只有简单描述无实质性内容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。）</w:t>
            </w:r>
          </w:p>
        </w:tc>
        <w:tc>
          <w:tcPr>
            <w:tcW w:w="816" w:type="dxa"/>
            <w:vAlign w:val="center"/>
          </w:tcPr>
          <w:p w14:paraId="2068A0B2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994" w:type="dxa"/>
            <w:vAlign w:val="center"/>
          </w:tcPr>
          <w:p w14:paraId="21967422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主观</w:t>
            </w:r>
          </w:p>
        </w:tc>
      </w:tr>
      <w:tr w14:paraId="71106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Merge w:val="continue"/>
            <w:vAlign w:val="center"/>
          </w:tcPr>
          <w:p w14:paraId="278FFDDD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C928E9C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保洁服务方案</w:t>
            </w:r>
          </w:p>
        </w:tc>
        <w:tc>
          <w:tcPr>
            <w:tcW w:w="4481" w:type="dxa"/>
          </w:tcPr>
          <w:p w14:paraId="24EA51D7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投标人提供针对本项目的保洁服务方案，方案内容应包含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但不限于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：保洁流程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卫生消杀计划；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如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园林绿化方案；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冬季除雪计划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等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 w14:paraId="1C8C6BF6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内容完整，逻辑清晰，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符合本项目要求得8分，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以上内容每缺少一项扣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每项中内容存在缺陷或不足扣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未提供不得分。</w:t>
            </w:r>
          </w:p>
          <w:p w14:paraId="660424EF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（缺陷或不足指：不适用项目实际情况的情形、凭空编造、内容前后不一致、前后逻 辑错误、涉及的规范及标准失效错误、地点区域错误、内容缺失不足、与本项目无关、只有简单描述无实质性内容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。）</w:t>
            </w:r>
          </w:p>
        </w:tc>
        <w:tc>
          <w:tcPr>
            <w:tcW w:w="816" w:type="dxa"/>
            <w:vAlign w:val="center"/>
          </w:tcPr>
          <w:p w14:paraId="400F1CB0">
            <w:pPr>
              <w:widowControl w:val="0"/>
              <w:bidi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94" w:type="dxa"/>
            <w:vAlign w:val="center"/>
          </w:tcPr>
          <w:p w14:paraId="5C007849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主观</w:t>
            </w:r>
          </w:p>
        </w:tc>
      </w:tr>
      <w:tr w14:paraId="0FBD95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Merge w:val="continue"/>
            <w:vAlign w:val="center"/>
          </w:tcPr>
          <w:p w14:paraId="00DEB19F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6EDF04B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秩序维护方案</w:t>
            </w:r>
          </w:p>
        </w:tc>
        <w:tc>
          <w:tcPr>
            <w:tcW w:w="4481" w:type="dxa"/>
          </w:tcPr>
          <w:p w14:paraId="0501793F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投标人提供针对本项目的秩序维护方案，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方案符合招标内容与技术要求相关内容，完整、详细、实用、可行，方案内容应包含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但不限于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秩序管理方案；应急安全事件的处理方案；消防巡检方案；信访、上访接待方案。</w:t>
            </w:r>
          </w:p>
          <w:p w14:paraId="1DF0203B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内容完整，逻辑清晰，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符合本项目要求得8分，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以上内容每缺少一项扣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每项中内容存在缺陷或不足扣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未提供不得分。</w:t>
            </w:r>
          </w:p>
          <w:p w14:paraId="5652645C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（缺陷或不足指：不适用项目实际情况的情形、凭空编造、内容前后不一致、前后逻 辑错误、涉及的规范及标准失效错误、地点区域错误、内容缺失不足、与本项目无关、只有简单描述无实质性内容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。）</w:t>
            </w:r>
          </w:p>
        </w:tc>
        <w:tc>
          <w:tcPr>
            <w:tcW w:w="816" w:type="dxa"/>
            <w:vAlign w:val="center"/>
          </w:tcPr>
          <w:p w14:paraId="6DB1FA45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94" w:type="dxa"/>
            <w:vAlign w:val="center"/>
          </w:tcPr>
          <w:p w14:paraId="64C07ECE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主观</w:t>
            </w:r>
          </w:p>
        </w:tc>
      </w:tr>
      <w:tr w14:paraId="4A2B2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Merge w:val="continue"/>
            <w:vAlign w:val="center"/>
          </w:tcPr>
          <w:p w14:paraId="272B28B4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96027DE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设备维修维护方案</w:t>
            </w:r>
          </w:p>
        </w:tc>
        <w:tc>
          <w:tcPr>
            <w:tcW w:w="4481" w:type="dxa"/>
          </w:tcPr>
          <w:p w14:paraId="1D34CB49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投标人提供针对本项目的设备维修维护方案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方案内容应包含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但不限于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办公楼整体维修方案；供配电系统的管理方案；给排水系统的管理方案；综合维修的相关制度。</w:t>
            </w:r>
          </w:p>
          <w:p w14:paraId="32F3CCB5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内容完整，逻辑清晰，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符合本项目要求得8分，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以上内容每缺少一项扣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每项中内容存在缺陷或不足扣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未提供不得分。</w:t>
            </w:r>
          </w:p>
          <w:p w14:paraId="4F63211D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（缺陷或不足指：不适用项目实际情况的情形、凭空编造、内容前后不一致、前后逻 辑错误、涉及的规范及标准失效错误、地点区域错误、内容缺失不足、与本项目无关、只有简单描述无实质性内容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。）</w:t>
            </w:r>
          </w:p>
        </w:tc>
        <w:tc>
          <w:tcPr>
            <w:tcW w:w="816" w:type="dxa"/>
            <w:vAlign w:val="center"/>
          </w:tcPr>
          <w:p w14:paraId="4A431973">
            <w:pPr>
              <w:widowControl w:val="0"/>
              <w:bidi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94" w:type="dxa"/>
            <w:vAlign w:val="center"/>
          </w:tcPr>
          <w:p w14:paraId="6B488A7C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主观</w:t>
            </w:r>
          </w:p>
        </w:tc>
      </w:tr>
      <w:tr w14:paraId="7A2BE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983" w:type="dxa"/>
            <w:vMerge w:val="continue"/>
            <w:vAlign w:val="center"/>
          </w:tcPr>
          <w:p w14:paraId="13A48755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C3C053E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人员管理方案</w:t>
            </w:r>
          </w:p>
        </w:tc>
        <w:tc>
          <w:tcPr>
            <w:tcW w:w="4481" w:type="dxa"/>
          </w:tcPr>
          <w:p w14:paraId="033BE073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投标人提供针对本项目的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人员管理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方案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符合实际使用需求，完整、详细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实用、可行，方案内容应包含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但不限于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项目人员配置；项目岗位职责；人员管理制度；项目人员培训方案等。</w:t>
            </w:r>
          </w:p>
          <w:p w14:paraId="19090858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内容完整，逻辑清晰，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符合本项目要求得8分，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以上内容每缺少一项扣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每项中内容存在缺陷或不足扣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未提供不得分。</w:t>
            </w:r>
          </w:p>
          <w:p w14:paraId="6027A62D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（缺陷或不足指：不适用项目实际情况的情形、凭空编造、内容前后不一致、前后逻 辑错误、涉及的规范及标准失效错误、地点区域错误、内容缺失不足、与本项目无关、只有简单描述无实质性内容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。）</w:t>
            </w:r>
          </w:p>
        </w:tc>
        <w:tc>
          <w:tcPr>
            <w:tcW w:w="816" w:type="dxa"/>
            <w:vAlign w:val="center"/>
          </w:tcPr>
          <w:p w14:paraId="060059B0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94" w:type="dxa"/>
            <w:vAlign w:val="center"/>
          </w:tcPr>
          <w:p w14:paraId="4855B8CD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主观</w:t>
            </w:r>
          </w:p>
        </w:tc>
      </w:tr>
      <w:tr w14:paraId="382C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983" w:type="dxa"/>
            <w:vMerge w:val="continue"/>
            <w:vAlign w:val="center"/>
          </w:tcPr>
          <w:p w14:paraId="4BF82756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64F42AF3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会务服务方案</w:t>
            </w:r>
          </w:p>
        </w:tc>
        <w:tc>
          <w:tcPr>
            <w:tcW w:w="4481" w:type="dxa"/>
          </w:tcPr>
          <w:p w14:paraId="018B2943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投标人提供针对本项目的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会务服务方案，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方案内容应包含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但不限于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：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会务服务流程及相关制度；会务服务人员的培训计划及考核机制。</w:t>
            </w:r>
          </w:p>
          <w:p w14:paraId="6CA3CAC4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内容完整，逻辑清晰，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符合本项目要求得8分，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以上内容每缺少一项扣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每项中内容存在缺陷或不足扣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未提供不得分。</w:t>
            </w:r>
          </w:p>
          <w:p w14:paraId="10935F31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（缺陷或不足指：不适用项目实际情况的情形、凭空编造、内容前后不一致、前后逻 辑错误、涉及的规范及标准失效错误、地点区域错误、内容缺失不足、与本项目无关、只有简单描述无实质性内容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。）</w:t>
            </w:r>
          </w:p>
        </w:tc>
        <w:tc>
          <w:tcPr>
            <w:tcW w:w="816" w:type="dxa"/>
            <w:vAlign w:val="center"/>
          </w:tcPr>
          <w:p w14:paraId="6F8604E6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94" w:type="dxa"/>
            <w:vAlign w:val="center"/>
          </w:tcPr>
          <w:p w14:paraId="12AD9119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主观</w:t>
            </w:r>
          </w:p>
        </w:tc>
      </w:tr>
      <w:tr w14:paraId="7E49E3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Merge w:val="continue"/>
            <w:vAlign w:val="center"/>
          </w:tcPr>
          <w:p w14:paraId="1E812FDE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56B8CF9D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应急预案</w:t>
            </w:r>
          </w:p>
        </w:tc>
        <w:tc>
          <w:tcPr>
            <w:tcW w:w="4481" w:type="dxa"/>
          </w:tcPr>
          <w:p w14:paraId="57E918C2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根据投标人提供的应急响应预案进行评审，评分内容：.消防应急预案；停水、停电应急预案；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突发安全事件应急预案；传染病及疫情应急处理预案。</w:t>
            </w:r>
          </w:p>
          <w:p w14:paraId="4B12F1F0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要求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内容完整，逻辑清晰，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符合本项目要求得8分，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以上内容每缺少一项扣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每项中内容存在缺陷或不足扣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未提供不得分。</w:t>
            </w:r>
          </w:p>
          <w:p w14:paraId="0C333A11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缺陷或不足指：不适用项目实际情况的情形、凭空编造、内容前后不一致、前后逻 辑错误、涉及的规范及标准失效错误、地点区域错误、内容缺失不足、与本项目无关、只有简单描述无实质性内容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。）</w:t>
            </w:r>
          </w:p>
        </w:tc>
        <w:tc>
          <w:tcPr>
            <w:tcW w:w="816" w:type="dxa"/>
            <w:vAlign w:val="center"/>
          </w:tcPr>
          <w:p w14:paraId="19A7303D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94" w:type="dxa"/>
            <w:vAlign w:val="center"/>
          </w:tcPr>
          <w:p w14:paraId="52BA8EB1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主观</w:t>
            </w:r>
          </w:p>
        </w:tc>
      </w:tr>
      <w:tr w14:paraId="2B321A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Merge w:val="restart"/>
            <w:vAlign w:val="center"/>
          </w:tcPr>
          <w:p w14:paraId="4DA4CDED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商务部分</w:t>
            </w:r>
          </w:p>
        </w:tc>
        <w:tc>
          <w:tcPr>
            <w:tcW w:w="1248" w:type="dxa"/>
            <w:vAlign w:val="center"/>
          </w:tcPr>
          <w:p w14:paraId="20D95561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企业业绩</w:t>
            </w:r>
          </w:p>
        </w:tc>
        <w:tc>
          <w:tcPr>
            <w:tcW w:w="4481" w:type="dxa"/>
          </w:tcPr>
          <w:p w14:paraId="1F3C3106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投标人提供近3年（202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-202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）同类项目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合同（非住宅）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，每有一项业绩得2分，最高得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分（提供承包合同原件扫描件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或中标通知书原件扫描件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，并加盖投标人公章）</w:t>
            </w:r>
          </w:p>
        </w:tc>
        <w:tc>
          <w:tcPr>
            <w:tcW w:w="816" w:type="dxa"/>
            <w:vAlign w:val="center"/>
          </w:tcPr>
          <w:p w14:paraId="51C1EC31">
            <w:pPr>
              <w:widowControl w:val="0"/>
              <w:bidi w:val="0"/>
              <w:jc w:val="center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94" w:type="dxa"/>
            <w:vAlign w:val="center"/>
          </w:tcPr>
          <w:p w14:paraId="436F6988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客观</w:t>
            </w:r>
          </w:p>
        </w:tc>
      </w:tr>
      <w:tr w14:paraId="7E67C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Merge w:val="continue"/>
            <w:vAlign w:val="center"/>
          </w:tcPr>
          <w:p w14:paraId="144D70F0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2478F018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财务证明</w:t>
            </w:r>
          </w:p>
        </w:tc>
        <w:tc>
          <w:tcPr>
            <w:tcW w:w="4481" w:type="dxa"/>
          </w:tcPr>
          <w:p w14:paraId="496DB3B2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投标人提供近3年（202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-202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财务审计报告，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每有一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年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得2分，最高得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分（提供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财务审计报告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原件扫描件，并加盖投标人公章）</w:t>
            </w:r>
            <w:bookmarkStart w:id="0" w:name="_GoBack"/>
            <w:bookmarkEnd w:id="0"/>
          </w:p>
        </w:tc>
        <w:tc>
          <w:tcPr>
            <w:tcW w:w="816" w:type="dxa"/>
            <w:vAlign w:val="center"/>
          </w:tcPr>
          <w:p w14:paraId="46A09E1B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994" w:type="dxa"/>
            <w:vAlign w:val="center"/>
          </w:tcPr>
          <w:p w14:paraId="6EC95C1C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客观</w:t>
            </w:r>
          </w:p>
        </w:tc>
      </w:tr>
      <w:tr w14:paraId="02DA3C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Merge w:val="continue"/>
            <w:vAlign w:val="center"/>
          </w:tcPr>
          <w:p w14:paraId="4DF0069B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48" w:type="dxa"/>
            <w:vAlign w:val="center"/>
          </w:tcPr>
          <w:p w14:paraId="3C6D939A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服务承诺</w:t>
            </w:r>
          </w:p>
        </w:tc>
        <w:tc>
          <w:tcPr>
            <w:tcW w:w="4481" w:type="dxa"/>
          </w:tcPr>
          <w:p w14:paraId="33BBB4BC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投标人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需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提供针对本项目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的管理指标服务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承诺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；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提供针对本项目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的服务保障措施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承诺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 w14:paraId="698DC5A1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承诺内容完整，逻辑清晰，符合本项目要求得8分，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以上内容每缺少一项扣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分，每项中内容存在缺陷或不足扣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分，未提供不得分。承诺格式自拟，加盖单位公章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</w:p>
          <w:p w14:paraId="7F5558B7">
            <w:pPr>
              <w:widowControl w:val="0"/>
              <w:bidi w:val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缺陷或不足指：不适用项目实际情况的情形、凭空编造、内容前后不一致、前后逻 辑错误、涉及的规范及标准失效错误、地点区域错误、内容缺失不足、与本项目无关、只有简单描述无实质性内容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。）</w:t>
            </w:r>
          </w:p>
        </w:tc>
        <w:tc>
          <w:tcPr>
            <w:tcW w:w="816" w:type="dxa"/>
            <w:vAlign w:val="center"/>
          </w:tcPr>
          <w:p w14:paraId="37B9A0C7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994" w:type="dxa"/>
            <w:vAlign w:val="center"/>
          </w:tcPr>
          <w:p w14:paraId="62CA551B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客观</w:t>
            </w:r>
          </w:p>
        </w:tc>
      </w:tr>
      <w:tr w14:paraId="55B74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3" w:type="dxa"/>
            <w:vAlign w:val="center"/>
          </w:tcPr>
          <w:p w14:paraId="4820D401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价格分</w:t>
            </w:r>
          </w:p>
        </w:tc>
        <w:tc>
          <w:tcPr>
            <w:tcW w:w="1248" w:type="dxa"/>
            <w:vAlign w:val="center"/>
          </w:tcPr>
          <w:p w14:paraId="613C7396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价格分</w:t>
            </w:r>
          </w:p>
        </w:tc>
        <w:tc>
          <w:tcPr>
            <w:tcW w:w="4481" w:type="dxa"/>
            <w:vAlign w:val="center"/>
          </w:tcPr>
          <w:p w14:paraId="4C26B8BE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F1指价格项评审因素得分＝（评标基准价/投标报价） ×100×价格项评审因素所占的权重（注：满足招标文件要求且投标价格最低的投标报价为评标基准价</w:t>
            </w:r>
            <w:r>
              <w:rPr>
                <w:rFonts w:hint="eastAsia" w:ascii="仿宋" w:hAnsi="仿宋" w:eastAsia="仿宋" w:cs="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）最低报价不是中标的唯一依据。因落实政府采购政策进行价格调整的，以调整后的价</w:t>
            </w:r>
          </w:p>
          <w:p w14:paraId="45348791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格计算评标基准价和投标报价。</w:t>
            </w:r>
          </w:p>
        </w:tc>
        <w:tc>
          <w:tcPr>
            <w:tcW w:w="816" w:type="dxa"/>
            <w:vAlign w:val="center"/>
          </w:tcPr>
          <w:p w14:paraId="59326900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0</w:t>
            </w:r>
          </w:p>
        </w:tc>
        <w:tc>
          <w:tcPr>
            <w:tcW w:w="994" w:type="dxa"/>
            <w:vAlign w:val="center"/>
          </w:tcPr>
          <w:p w14:paraId="3E2D4508">
            <w:pPr>
              <w:widowControl w:val="0"/>
              <w:bidi w:val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客观</w:t>
            </w:r>
          </w:p>
        </w:tc>
      </w:tr>
    </w:tbl>
    <w:p w14:paraId="32A57BE1">
      <w:pPr>
        <w:spacing w:line="70" w:lineRule="exact"/>
      </w:pPr>
    </w:p>
    <w:p w14:paraId="1E2FD58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6845EF"/>
    <w:rsid w:val="0006678B"/>
    <w:rsid w:val="01635D69"/>
    <w:rsid w:val="02A059FA"/>
    <w:rsid w:val="036845EF"/>
    <w:rsid w:val="077E3241"/>
    <w:rsid w:val="0AC35055"/>
    <w:rsid w:val="13085968"/>
    <w:rsid w:val="15CF2365"/>
    <w:rsid w:val="187D188E"/>
    <w:rsid w:val="1B0A2D61"/>
    <w:rsid w:val="1C995731"/>
    <w:rsid w:val="1E5D4FF0"/>
    <w:rsid w:val="202737DA"/>
    <w:rsid w:val="21367194"/>
    <w:rsid w:val="221A4CD6"/>
    <w:rsid w:val="22505643"/>
    <w:rsid w:val="26FC5CE6"/>
    <w:rsid w:val="27EB7177"/>
    <w:rsid w:val="2B9533F8"/>
    <w:rsid w:val="2CFD660E"/>
    <w:rsid w:val="2DDA2A19"/>
    <w:rsid w:val="2E137B94"/>
    <w:rsid w:val="31462D0D"/>
    <w:rsid w:val="31A51942"/>
    <w:rsid w:val="333A462A"/>
    <w:rsid w:val="34F41C7D"/>
    <w:rsid w:val="355E2D1B"/>
    <w:rsid w:val="35785E05"/>
    <w:rsid w:val="373A5D2A"/>
    <w:rsid w:val="39F558AD"/>
    <w:rsid w:val="3B7450C6"/>
    <w:rsid w:val="404A287E"/>
    <w:rsid w:val="42C915F3"/>
    <w:rsid w:val="43D8485D"/>
    <w:rsid w:val="44E14541"/>
    <w:rsid w:val="45D551AF"/>
    <w:rsid w:val="476D45EC"/>
    <w:rsid w:val="49821C1B"/>
    <w:rsid w:val="4CFD69CB"/>
    <w:rsid w:val="50F73AC7"/>
    <w:rsid w:val="544D4E3B"/>
    <w:rsid w:val="54781617"/>
    <w:rsid w:val="59026F01"/>
    <w:rsid w:val="5E7E5DD0"/>
    <w:rsid w:val="5E8E601D"/>
    <w:rsid w:val="5F2D78BA"/>
    <w:rsid w:val="61980F98"/>
    <w:rsid w:val="61D64E83"/>
    <w:rsid w:val="6E1B7194"/>
    <w:rsid w:val="6EB6414C"/>
    <w:rsid w:val="6F5F7EEA"/>
    <w:rsid w:val="721E575B"/>
    <w:rsid w:val="77767EED"/>
    <w:rsid w:val="7CEB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20" w:beforeLines="0" w:beforeAutospacing="0" w:after="20" w:afterLines="0" w:afterAutospacing="0" w:line="360" w:lineRule="auto"/>
      <w:jc w:val="center"/>
      <w:outlineLvl w:val="0"/>
    </w:pPr>
    <w:rPr>
      <w:rFonts w:eastAsia="仿宋" w:cs="Times New Roman" w:asciiTheme="minorAscii" w:hAnsiTheme="minorAscii"/>
      <w:b/>
      <w:snapToGrid w:val="0"/>
      <w:color w:val="000000"/>
      <w:kern w:val="44"/>
      <w:sz w:val="36"/>
      <w:szCs w:val="21"/>
      <w:lang w:eastAsia="en-US"/>
    </w:rPr>
  </w:style>
  <w:style w:type="paragraph" w:styleId="3">
    <w:name w:val="heading 2"/>
    <w:basedOn w:val="1"/>
    <w:next w:val="1"/>
    <w:link w:val="8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360" w:lineRule="auto"/>
      <w:outlineLvl w:val="1"/>
    </w:pPr>
    <w:rPr>
      <w:rFonts w:ascii="Arial" w:hAnsi="Arial" w:eastAsia="仿宋"/>
      <w:b/>
      <w:sz w:val="32"/>
    </w:rPr>
  </w:style>
  <w:style w:type="paragraph" w:styleId="4">
    <w:name w:val="heading 3"/>
    <w:basedOn w:val="1"/>
    <w:next w:val="1"/>
    <w:link w:val="9"/>
    <w:semiHidden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240" w:lineRule="auto"/>
      <w:ind w:firstLine="49" w:firstLineChars="49"/>
      <w:jc w:val="left"/>
      <w:outlineLvl w:val="2"/>
    </w:pPr>
    <w:rPr>
      <w:rFonts w:ascii="黑体" w:hAnsi="黑体" w:eastAsia="仿宋" w:cs="Arial"/>
      <w:b/>
      <w:snapToGrid w:val="0"/>
      <w:color w:val="000000"/>
      <w:kern w:val="0"/>
      <w:sz w:val="32"/>
      <w:szCs w:val="20"/>
      <w:lang w:eastAsia="en-US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2 Char"/>
    <w:link w:val="3"/>
    <w:qFormat/>
    <w:uiPriority w:val="1"/>
    <w:rPr>
      <w:rFonts w:ascii="Arial" w:hAnsi="Arial" w:eastAsia="仿宋"/>
      <w:b/>
      <w:sz w:val="32"/>
    </w:rPr>
  </w:style>
  <w:style w:type="character" w:customStyle="1" w:styleId="9">
    <w:name w:val="标题 3 Char"/>
    <w:link w:val="4"/>
    <w:qFormat/>
    <w:uiPriority w:val="1"/>
    <w:rPr>
      <w:rFonts w:ascii="黑体" w:hAnsi="黑体" w:eastAsia="仿宋" w:cs="Arial"/>
      <w:b/>
      <w:snapToGrid w:val="0"/>
      <w:color w:val="000000"/>
      <w:kern w:val="0"/>
      <w:sz w:val="32"/>
      <w:szCs w:val="20"/>
      <w:lang w:eastAsia="en-US"/>
    </w:rPr>
  </w:style>
  <w:style w:type="character" w:customStyle="1" w:styleId="10">
    <w:name w:val="标题 1 Char"/>
    <w:link w:val="2"/>
    <w:qFormat/>
    <w:uiPriority w:val="1"/>
    <w:rPr>
      <w:rFonts w:eastAsia="宋体" w:cs="Times New Roman" w:asciiTheme="minorAscii" w:hAnsiTheme="minorAscii"/>
      <w:b/>
      <w:snapToGrid w:val="0"/>
      <w:color w:val="000000"/>
      <w:kern w:val="44"/>
      <w:sz w:val="44"/>
      <w:szCs w:val="21"/>
      <w:lang w:eastAsia="en-US"/>
    </w:rPr>
  </w:style>
  <w:style w:type="paragraph" w:customStyle="1" w:styleId="11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12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2142</Words>
  <Characters>2178</Characters>
  <Lines>0</Lines>
  <Paragraphs>0</Paragraphs>
  <TotalTime>29</TotalTime>
  <ScaleCrop>false</ScaleCrop>
  <LinksUpToDate>false</LinksUpToDate>
  <CharactersWithSpaces>2189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2025-05-26T01:45:00Z</dcterms:created>
  <dc:creator>星星</dc:creator>
  <cp:lastModifiedBy>  杜伟</cp:lastModifiedBy>
  <dcterms:modified xsi:type="dcterms:W3CDTF">2025-06-13T03:43:15Z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C2E78631D2DA438B8A8FF89A066469A9_11</vt:lpwstr>
  </property>
  <property fmtid="{D5CDD505-2E9C-101B-9397-08002B2CF9AE}" pid="4" name="KSOTemplateDocerSaveRecord">
    <vt:lpwstr>eyJoZGlkIjoiZjFmZWIzNDg2MmIzZjExOTIzMmViNTBmYTMwYTk0ZWYiLCJ1c2VySWQiOiIxOTU3MDQ5NzEifQ==</vt:lpwstr>
  </property>
</Properties>
</file>