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呼和浩特市耕地保护监测监管项目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呼和浩特市自然资源局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呼和浩特市政府采购中心</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150101-HSZC-GK-20250004</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呼和浩特市政府采购中心</w:t>
      </w:r>
      <w:r>
        <w:rPr>
          <w:rFonts w:ascii="仿宋_GB2312" w:hAnsi="仿宋_GB2312" w:cs="仿宋_GB2312" w:eastAsia="仿宋_GB2312"/>
        </w:rPr>
        <w:t xml:space="preserve"> 受 </w:t>
      </w:r>
      <w:r>
        <w:rPr>
          <w:rFonts w:ascii="仿宋_GB2312" w:hAnsi="仿宋_GB2312" w:cs="仿宋_GB2312" w:eastAsia="仿宋_GB2312"/>
        </w:rPr>
        <w:t>呼和浩特市自然资源局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呼和浩特市耕地保护监测监管项目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呼和浩特市耕地保护监测监管项目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150101-HSZC-GK-20250004</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呼政采计划[2025]00084</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呼和浩特市耕地保护监测监管（第一作业区）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1,000,000.00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1,000,000.00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呼和浩特市耕地保护监测监管（第二作业区）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1,000,000.00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采购包预算金额（元）: 1,000,000.00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呼和浩特市耕地保护监测监管（第三作业区）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1,000,000.00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1、资质要求：具有测绘行政主管部门颁发的乙级及以上测绘资质证书，《测绘资质证书》中业务范围须包含摄影测量与遥感；</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1、资质要求：具有测绘行政主管部门颁发的乙级及以上测绘资质证书，《测绘资质证书》中业务范围须包含摄影测量与遥感；</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1、资质要求：具有测绘行政主管部门颁发的乙级及以上测绘资质证书，《测绘资质证书》中业务范围须包含摄影测量与遥感；</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呼和浩特市政府采购中心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内蒙古自治区呼和浩特市新城区呼和浩特市丁香路2号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呼市政府采购中心</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0471-4669352</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呼和浩特市自然资源局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内蒙古自治区呼和浩特市赛罕区新华东街城建大厦</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李志杰</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0471-5981739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3</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p>
            <w:pPr>
              <w:pStyle w:val="null5"/>
              <w:jc w:val="left"/>
            </w:pPr>
            <w:r>
              <w:rPr>
                <w:rFonts w:ascii="仿宋_GB2312" w:hAnsi="仿宋_GB2312" w:cs="仿宋_GB2312" w:eastAsia="仿宋_GB2312"/>
              </w:rPr>
              <w:t>采购包3：综合评分法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p>
            <w:pPr>
              <w:pStyle w:val="null5"/>
              <w:jc w:val="left"/>
            </w:pPr>
            <w:r>
              <w:rPr>
                <w:rFonts w:ascii="仿宋_GB2312" w:hAnsi="仿宋_GB2312" w:cs="仿宋_GB2312" w:eastAsia="仿宋_GB2312"/>
              </w:rPr>
              <w:t>采购包3：不接受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本项目不收取代理服务费</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p>
            <w:pPr>
              <w:pStyle w:val="null5"/>
              <w:jc w:val="left"/>
            </w:pPr>
            <w:r>
              <w:rPr>
                <w:rFonts w:ascii="仿宋_GB2312" w:hAnsi="仿宋_GB2312" w:cs="仿宋_GB2312" w:eastAsia="仿宋_GB2312"/>
              </w:rPr>
              <w:t>采购包2：3家</w:t>
            </w:r>
          </w:p>
          <w:p>
            <w:pPr>
              <w:pStyle w:val="null5"/>
              <w:jc w:val="left"/>
            </w:pPr>
            <w:r>
              <w:rPr>
                <w:rFonts w:ascii="仿宋_GB2312" w:hAnsi="仿宋_GB2312" w:cs="仿宋_GB2312" w:eastAsia="仿宋_GB2312"/>
              </w:rPr>
              <w:t>采购包3：3家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p>
            <w:pPr>
              <w:pStyle w:val="null5"/>
              <w:jc w:val="left"/>
            </w:pPr>
            <w:r>
              <w:rPr>
                <w:rFonts w:ascii="仿宋_GB2312" w:hAnsi="仿宋_GB2312" w:cs="仿宋_GB2312" w:eastAsia="仿宋_GB2312"/>
              </w:rPr>
              <w:t>采购包2：1名</w:t>
            </w:r>
          </w:p>
          <w:p>
            <w:pPr>
              <w:pStyle w:val="null5"/>
              <w:jc w:val="left"/>
            </w:pPr>
            <w:r>
              <w:rPr>
                <w:rFonts w:ascii="仿宋_GB2312" w:hAnsi="仿宋_GB2312" w:cs="仿宋_GB2312" w:eastAsia="仿宋_GB2312"/>
              </w:rPr>
              <w:t>采购包3：1名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p>
            <w:pPr>
              <w:pStyle w:val="null5"/>
              <w:jc w:val="left"/>
            </w:pPr>
            <w:r>
              <w:rPr>
                <w:rFonts w:ascii="仿宋_GB2312" w:hAnsi="仿宋_GB2312" w:cs="仿宋_GB2312" w:eastAsia="仿宋_GB2312"/>
              </w:rPr>
              <w:t>采购包3：3名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p>
            <w:pPr>
              <w:pStyle w:val="null5"/>
              <w:jc w:val="left"/>
            </w:pPr>
            <w:r>
              <w:rPr>
                <w:rFonts w:ascii="仿宋_GB2312" w:hAnsi="仿宋_GB2312" w:cs="仿宋_GB2312" w:eastAsia="仿宋_GB2312"/>
              </w:rPr>
              <w:t>采购包2：总价</w:t>
            </w:r>
          </w:p>
          <w:p>
            <w:pPr>
              <w:pStyle w:val="null5"/>
              <w:jc w:val="left"/>
            </w:pPr>
            <w:r>
              <w:rPr>
                <w:rFonts w:ascii="仿宋_GB2312" w:hAnsi="仿宋_GB2312" w:cs="仿宋_GB2312" w:eastAsia="仿宋_GB2312"/>
              </w:rPr>
              <w:t>采购包3：总价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p>
            <w:pPr>
              <w:pStyle w:val="null5"/>
              <w:jc w:val="left"/>
            </w:pPr>
            <w:r>
              <w:rPr>
                <w:rFonts w:ascii="仿宋_GB2312" w:hAnsi="仿宋_GB2312" w:cs="仿宋_GB2312" w:eastAsia="仿宋_GB2312"/>
              </w:rPr>
              <w:t>采购包2：组织现场踏勘：否</w:t>
            </w:r>
          </w:p>
          <w:p>
            <w:pPr>
              <w:pStyle w:val="null5"/>
              <w:jc w:val="left"/>
            </w:pPr>
            <w:r>
              <w:rPr>
                <w:rFonts w:ascii="仿宋_GB2312" w:hAnsi="仿宋_GB2312" w:cs="仿宋_GB2312" w:eastAsia="仿宋_GB2312"/>
              </w:rPr>
              <w:t>采购包3：组织现场踏勘：否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呼和浩特市自然资源局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呼和浩特市政府采购中心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资质要求</w:t>
            </w:r>
          </w:p>
        </w:tc>
        <w:tc>
          <w:tcPr>
            <w:tcW w:type="dxa" w:w="4984"/>
          </w:tcPr>
          <w:p>
            <w:pPr>
              <w:pStyle w:val="null5"/>
              <w:jc w:val="left"/>
            </w:pPr>
            <w:r>
              <w:rPr>
                <w:rFonts w:ascii="仿宋_GB2312" w:hAnsi="仿宋_GB2312" w:cs="仿宋_GB2312" w:eastAsia="仿宋_GB2312"/>
              </w:rPr>
              <w:t>具有测绘行政主管部门颁发的乙级及以上测绘资质证书，《测绘资质证书》中业务范围须包含摄影测量与遥感；</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资质要求</w:t>
            </w:r>
          </w:p>
        </w:tc>
        <w:tc>
          <w:tcPr>
            <w:tcW w:type="dxa" w:w="4984"/>
          </w:tcPr>
          <w:p>
            <w:pPr>
              <w:pStyle w:val="null5"/>
              <w:jc w:val="left"/>
            </w:pPr>
            <w:r>
              <w:rPr>
                <w:rFonts w:ascii="仿宋_GB2312" w:hAnsi="仿宋_GB2312" w:cs="仿宋_GB2312" w:eastAsia="仿宋_GB2312"/>
              </w:rPr>
              <w:t>具有测绘行政主管部门颁发的乙级及以上测绘资质证书，《测绘资质证书》中业务范围须包含摄影测量与遥感；</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资质要求</w:t>
            </w:r>
          </w:p>
        </w:tc>
        <w:tc>
          <w:tcPr>
            <w:tcW w:type="dxa" w:w="4984"/>
          </w:tcPr>
          <w:p>
            <w:pPr>
              <w:pStyle w:val="null5"/>
              <w:jc w:val="left"/>
            </w:pPr>
            <w:r>
              <w:rPr>
                <w:rFonts w:ascii="仿宋_GB2312" w:hAnsi="仿宋_GB2312" w:cs="仿宋_GB2312" w:eastAsia="仿宋_GB2312"/>
              </w:rPr>
              <w:t>具有测绘行政主管部门颁发的乙级及以上测绘资质证书，《测绘资质证书》中业务范围须包含摄影测量与遥感；</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根据《内蒙古自治区自然资源厅和财政厅关于申报自治区耕地保护考核奖励基金项目储备库入库的通知》（内自然资字〔2024〕429号）文件，呼和浩特市申报了《呼和浩特市耕地保护监测监管项目》，由市级统一开展耕地保护监测监管工作，对耕地疑似变化图斑开展影像判读、外业核查、问题研判、提出整改建议等工作</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2025年7月前提交成果，验收后1年内对耕地保护监管相关工作进行售后服务</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呼和浩特市</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1、合同签订后，达到付款条件起30日，支付合同总金额的20.00%</w:t>
            </w:r>
          </w:p>
          <w:p>
            <w:pPr>
              <w:pStyle w:val="null5"/>
              <w:jc w:val="left"/>
            </w:pPr>
            <w:r>
              <w:rPr>
                <w:rFonts w:ascii="仿宋_GB2312" w:hAnsi="仿宋_GB2312" w:cs="仿宋_GB2312" w:eastAsia="仿宋_GB2312"/>
              </w:rPr>
              <w:t>2、完成全部工程并通过验收，达到付款条件起30日，支付合同总金额的60.00%</w:t>
            </w:r>
          </w:p>
          <w:p>
            <w:pPr>
              <w:pStyle w:val="null5"/>
              <w:jc w:val="left"/>
            </w:pPr>
            <w:r>
              <w:rPr>
                <w:rFonts w:ascii="仿宋_GB2312" w:hAnsi="仿宋_GB2312" w:cs="仿宋_GB2312" w:eastAsia="仿宋_GB2312"/>
              </w:rPr>
              <w:t>3、档案移交后，达到付款条件起30日，支付合同总金额的20.00%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需要缴纳履约保证金：null</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2025年7月前提交成果，验收后1年内对耕地保护监管相关工作进行售后服务</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呼和浩特市</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1、合同签订后，达到付款条件起30日，支付合同总金额的20.00%</w:t>
            </w:r>
          </w:p>
          <w:p>
            <w:pPr>
              <w:pStyle w:val="null5"/>
              <w:jc w:val="left"/>
            </w:pPr>
            <w:r>
              <w:rPr>
                <w:rFonts w:ascii="仿宋_GB2312" w:hAnsi="仿宋_GB2312" w:cs="仿宋_GB2312" w:eastAsia="仿宋_GB2312"/>
              </w:rPr>
              <w:t>2、完成全部工程并通过验收，达到付款条件起30日，支付合同总金额的60.00%</w:t>
            </w:r>
          </w:p>
          <w:p>
            <w:pPr>
              <w:pStyle w:val="null5"/>
              <w:jc w:val="left"/>
            </w:pPr>
            <w:r>
              <w:rPr>
                <w:rFonts w:ascii="仿宋_GB2312" w:hAnsi="仿宋_GB2312" w:cs="仿宋_GB2312" w:eastAsia="仿宋_GB2312"/>
              </w:rPr>
              <w:t>3、档案移交后，达到付款条件起30日，支付合同总金额的20.00%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需要缴纳履约保证金：null</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2025年7月前提交成果，验收后1年内对耕地保护监管相关工作进行售后服务</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呼和浩特市</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1、合同签订后，达到付款条件起30日，支付合同总金额的20.00%</w:t>
            </w:r>
          </w:p>
          <w:p>
            <w:pPr>
              <w:pStyle w:val="null5"/>
              <w:jc w:val="left"/>
            </w:pPr>
            <w:r>
              <w:rPr>
                <w:rFonts w:ascii="仿宋_GB2312" w:hAnsi="仿宋_GB2312" w:cs="仿宋_GB2312" w:eastAsia="仿宋_GB2312"/>
              </w:rPr>
              <w:t>2、完成全部工程并通过验收，达到付款条件起30日，支付合同总金额的60.00%</w:t>
            </w:r>
          </w:p>
          <w:p>
            <w:pPr>
              <w:pStyle w:val="null5"/>
              <w:jc w:val="left"/>
            </w:pPr>
            <w:r>
              <w:rPr>
                <w:rFonts w:ascii="仿宋_GB2312" w:hAnsi="仿宋_GB2312" w:cs="仿宋_GB2312" w:eastAsia="仿宋_GB2312"/>
              </w:rPr>
              <w:t>3、档案移交后，达到付款条件起30日，支付合同总金额的20.00%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需要缴纳履约保证金：null</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标的名称：呼和浩特市耕地保护监测监管（第一作业区）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outlineLvl w:val="0"/>
            </w:pPr>
            <w:r>
              <w:rPr>
                <w:rFonts w:ascii="仿宋_GB2312" w:hAnsi="仿宋_GB2312" w:cs="仿宋_GB2312" w:eastAsia="仿宋_GB2312"/>
                <w:sz w:val="28"/>
                <w:b/>
              </w:rPr>
              <w:t>一、</w:t>
            </w:r>
            <w:r>
              <w:rPr>
                <w:rFonts w:ascii="仿宋_GB2312" w:hAnsi="仿宋_GB2312" w:cs="仿宋_GB2312" w:eastAsia="仿宋_GB2312"/>
                <w:sz w:val="28"/>
                <w:b/>
              </w:rPr>
              <w:t>工作目标与内容</w:t>
            </w:r>
          </w:p>
          <w:p>
            <w:pPr>
              <w:pStyle w:val="null5"/>
              <w:jc w:val="both"/>
              <w:outlineLvl w:val="1"/>
            </w:pPr>
            <w:r>
              <w:rPr>
                <w:rFonts w:ascii="仿宋_GB2312" w:hAnsi="仿宋_GB2312" w:cs="仿宋_GB2312" w:eastAsia="仿宋_GB2312"/>
                <w:sz w:val="28"/>
                <w:b/>
              </w:rPr>
              <w:t>（一）</w:t>
            </w:r>
            <w:r>
              <w:rPr>
                <w:rFonts w:ascii="仿宋_GB2312" w:hAnsi="仿宋_GB2312" w:cs="仿宋_GB2312" w:eastAsia="仿宋_GB2312"/>
                <w:sz w:val="28"/>
                <w:b/>
              </w:rPr>
              <w:t>任务背景</w:t>
            </w:r>
          </w:p>
          <w:p>
            <w:pPr>
              <w:pStyle w:val="null5"/>
              <w:ind w:firstLine="560"/>
              <w:jc w:val="left"/>
            </w:pPr>
            <w:r>
              <w:rPr>
                <w:rFonts w:ascii="仿宋_GB2312" w:hAnsi="仿宋_GB2312" w:cs="仿宋_GB2312" w:eastAsia="仿宋_GB2312"/>
                <w:sz w:val="28"/>
              </w:rPr>
              <w:t>2024年8月，</w:t>
            </w:r>
            <w:r>
              <w:rPr>
                <w:rFonts w:ascii="仿宋_GB2312" w:hAnsi="仿宋_GB2312" w:cs="仿宋_GB2312" w:eastAsia="仿宋_GB2312"/>
                <w:sz w:val="28"/>
              </w:rPr>
              <w:t>内蒙古自治区自然资源厅</w:t>
            </w:r>
            <w:r>
              <w:rPr>
                <w:rFonts w:ascii="仿宋_GB2312" w:hAnsi="仿宋_GB2312" w:cs="仿宋_GB2312" w:eastAsia="仿宋_GB2312"/>
                <w:sz w:val="28"/>
              </w:rPr>
              <w:t>和</w:t>
            </w:r>
            <w:r>
              <w:rPr>
                <w:rFonts w:ascii="仿宋_GB2312" w:hAnsi="仿宋_GB2312" w:cs="仿宋_GB2312" w:eastAsia="仿宋_GB2312"/>
                <w:sz w:val="28"/>
              </w:rPr>
              <w:t>财政厅</w:t>
            </w:r>
            <w:r>
              <w:rPr>
                <w:rFonts w:ascii="仿宋_GB2312" w:hAnsi="仿宋_GB2312" w:cs="仿宋_GB2312" w:eastAsia="仿宋_GB2312"/>
                <w:sz w:val="28"/>
              </w:rPr>
              <w:t>印发了《</w:t>
            </w:r>
            <w:r>
              <w:rPr>
                <w:rFonts w:ascii="仿宋_GB2312" w:hAnsi="仿宋_GB2312" w:cs="仿宋_GB2312" w:eastAsia="仿宋_GB2312"/>
                <w:sz w:val="28"/>
              </w:rPr>
              <w:t>关于申报自治区耕地保护考核奖励基金项目储备库入库的通知》（内自然资字〔</w:t>
            </w:r>
            <w:r>
              <w:rPr>
                <w:rFonts w:ascii="仿宋_GB2312" w:hAnsi="仿宋_GB2312" w:cs="仿宋_GB2312" w:eastAsia="仿宋_GB2312"/>
                <w:sz w:val="28"/>
              </w:rPr>
              <w:t>2024〕429号）</w:t>
            </w:r>
            <w:r>
              <w:rPr>
                <w:rFonts w:ascii="仿宋_GB2312" w:hAnsi="仿宋_GB2312" w:cs="仿宋_GB2312" w:eastAsia="仿宋_GB2312"/>
                <w:sz w:val="28"/>
              </w:rPr>
              <w:t>文件，呼和浩特市本级拟按照文件要求，申报《呼和浩特市耕地保护监测监管项目》，由市级统一开展疑似问题图斑的</w:t>
            </w:r>
            <w:r>
              <w:rPr>
                <w:rFonts w:ascii="仿宋_GB2312" w:hAnsi="仿宋_GB2312" w:cs="仿宋_GB2312" w:eastAsia="仿宋_GB2312"/>
                <w:sz w:val="28"/>
              </w:rPr>
              <w:t>影像判读、外业调查、图斑分类、数据审核、数据反馈、情况报告</w:t>
            </w:r>
            <w:r>
              <w:rPr>
                <w:rFonts w:ascii="仿宋_GB2312" w:hAnsi="仿宋_GB2312" w:cs="仿宋_GB2312" w:eastAsia="仿宋_GB2312"/>
                <w:sz w:val="28"/>
              </w:rPr>
              <w:t>等工作。</w:t>
            </w:r>
          </w:p>
          <w:p>
            <w:pPr>
              <w:pStyle w:val="null5"/>
              <w:jc w:val="both"/>
              <w:outlineLvl w:val="1"/>
            </w:pPr>
            <w:r>
              <w:rPr>
                <w:rFonts w:ascii="仿宋_GB2312" w:hAnsi="仿宋_GB2312" w:cs="仿宋_GB2312" w:eastAsia="仿宋_GB2312"/>
                <w:sz w:val="28"/>
                <w:b/>
              </w:rPr>
              <w:t>（二）工作目标及意义</w:t>
            </w:r>
          </w:p>
          <w:p>
            <w:pPr>
              <w:pStyle w:val="null5"/>
              <w:ind w:firstLine="562"/>
              <w:jc w:val="both"/>
            </w:pPr>
            <w:r>
              <w:rPr>
                <w:rFonts w:ascii="仿宋_GB2312" w:hAnsi="仿宋_GB2312" w:cs="仿宋_GB2312" w:eastAsia="仿宋_GB2312"/>
                <w:sz w:val="28"/>
                <w:b/>
              </w:rPr>
              <w:t>1.工作目标</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1）监督全市耕地和永久基本农田保护与利用情况。</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2）进一步遏制耕地“非农化”与“非粮化”行为</w:t>
            </w:r>
            <w:r>
              <w:rPr>
                <w:rFonts w:ascii="仿宋_GB2312" w:hAnsi="仿宋_GB2312" w:cs="仿宋_GB2312" w:eastAsia="仿宋_GB2312"/>
                <w:sz w:val="28"/>
              </w:rPr>
              <w:t>。</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强化监测监管成果应用</w:t>
            </w:r>
            <w:r>
              <w:rPr>
                <w:rFonts w:ascii="仿宋_GB2312" w:hAnsi="仿宋_GB2312" w:cs="仿宋_GB2312" w:eastAsia="仿宋_GB2312"/>
                <w:sz w:val="28"/>
              </w:rPr>
              <w:t>。</w:t>
            </w:r>
          </w:p>
          <w:p>
            <w:pPr>
              <w:pStyle w:val="null5"/>
              <w:ind w:firstLine="562"/>
              <w:jc w:val="both"/>
            </w:pPr>
            <w:r>
              <w:rPr>
                <w:rFonts w:ascii="仿宋_GB2312" w:hAnsi="仿宋_GB2312" w:cs="仿宋_GB2312" w:eastAsia="仿宋_GB2312"/>
                <w:sz w:val="28"/>
                <w:b/>
              </w:rPr>
              <w:t>2.工作意义</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1）对违法违规占用耕地问题早发现、早制止</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2）保障耕地是粮食生产的重要基础</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3）为地方开展耕地保护实施奖惩提供依据</w:t>
            </w:r>
          </w:p>
          <w:p>
            <w:pPr>
              <w:pStyle w:val="null5"/>
              <w:jc w:val="both"/>
              <w:outlineLvl w:val="1"/>
            </w:pPr>
            <w:r>
              <w:rPr>
                <w:rFonts w:ascii="仿宋_GB2312" w:hAnsi="仿宋_GB2312" w:cs="仿宋_GB2312" w:eastAsia="仿宋_GB2312"/>
                <w:sz w:val="28"/>
                <w:b/>
              </w:rPr>
              <w:t>（三）主要工作内容</w:t>
            </w:r>
          </w:p>
          <w:p>
            <w:pPr>
              <w:pStyle w:val="null5"/>
              <w:ind w:firstLine="562"/>
              <w:jc w:val="both"/>
            </w:pPr>
            <w:r>
              <w:rPr>
                <w:rFonts w:ascii="仿宋_GB2312" w:hAnsi="仿宋_GB2312" w:cs="仿宋_GB2312" w:eastAsia="仿宋_GB2312"/>
                <w:sz w:val="28"/>
                <w:b/>
              </w:rPr>
              <w:t>1.疑似问题图斑的影像判读</w:t>
            </w:r>
          </w:p>
          <w:p>
            <w:pPr>
              <w:pStyle w:val="null5"/>
              <w:ind w:firstLine="560"/>
              <w:jc w:val="both"/>
            </w:pPr>
            <w:r>
              <w:rPr>
                <w:rFonts w:ascii="仿宋_GB2312" w:hAnsi="仿宋_GB2312" w:cs="仿宋_GB2312" w:eastAsia="仿宋_GB2312"/>
                <w:sz w:val="28"/>
              </w:rPr>
              <w:t>根据自治区下发图斑和呼和浩特市</w:t>
            </w:r>
            <w:r>
              <w:rPr>
                <w:rFonts w:ascii="仿宋_GB2312" w:hAnsi="仿宋_GB2312" w:cs="仿宋_GB2312" w:eastAsia="仿宋_GB2312"/>
                <w:sz w:val="28"/>
              </w:rPr>
              <w:t>2023年度国土变更调查成果，提取年度全市耕地流入流出变化图斑，并结合审批、卫片等数据</w:t>
            </w:r>
            <w:r>
              <w:rPr>
                <w:rFonts w:ascii="仿宋_GB2312" w:hAnsi="仿宋_GB2312" w:cs="仿宋_GB2312" w:eastAsia="仿宋_GB2312"/>
                <w:sz w:val="28"/>
              </w:rPr>
              <w:t>开展年度</w:t>
            </w:r>
            <w:r>
              <w:rPr>
                <w:rFonts w:ascii="仿宋_GB2312" w:hAnsi="仿宋_GB2312" w:cs="仿宋_GB2312" w:eastAsia="仿宋_GB2312"/>
                <w:sz w:val="28"/>
              </w:rPr>
              <w:t>核查</w:t>
            </w:r>
            <w:r>
              <w:rPr>
                <w:rFonts w:ascii="仿宋_GB2312" w:hAnsi="仿宋_GB2312" w:cs="仿宋_GB2312" w:eastAsia="仿宋_GB2312"/>
                <w:sz w:val="28"/>
              </w:rPr>
              <w:t>影像判读，主要工作内容：</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1）根据</w:t>
            </w:r>
            <w:r>
              <w:rPr>
                <w:rFonts w:ascii="仿宋_GB2312" w:hAnsi="仿宋_GB2312" w:cs="仿宋_GB2312" w:eastAsia="仿宋_GB2312"/>
                <w:sz w:val="28"/>
              </w:rPr>
              <w:t>新城区、回民区、武川县</w:t>
            </w:r>
            <w:r>
              <w:rPr>
                <w:rFonts w:ascii="仿宋_GB2312" w:hAnsi="仿宋_GB2312" w:cs="仿宋_GB2312" w:eastAsia="仿宋_GB2312"/>
                <w:sz w:val="28"/>
              </w:rPr>
              <w:t>图斑数量，</w:t>
            </w:r>
            <w:r>
              <w:rPr>
                <w:rFonts w:ascii="仿宋_GB2312" w:hAnsi="仿宋_GB2312" w:cs="仿宋_GB2312" w:eastAsia="仿宋_GB2312"/>
                <w:sz w:val="28"/>
              </w:rPr>
              <w:t>开展</w:t>
            </w:r>
            <w:r>
              <w:rPr>
                <w:rFonts w:ascii="仿宋_GB2312" w:hAnsi="仿宋_GB2312" w:cs="仿宋_GB2312" w:eastAsia="仿宋_GB2312"/>
                <w:sz w:val="28"/>
              </w:rPr>
              <w:t>内业判读业务，制作工作计划，确定业务分工；</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在图斑矢量数据的基础上，添加判读信息的字段，包括用地性质、面积、坐标、所在行政区、权属性质等；</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3）结合我市最新影像图，根据《国土空间调查、规划、用途管制用地用海分类指南》，判读图斑的用地性质，细分至二级类，有条件的图斑可细分至三级类；</w:t>
            </w:r>
          </w:p>
          <w:p>
            <w:pPr>
              <w:pStyle w:val="null5"/>
              <w:ind w:firstLine="562"/>
              <w:jc w:val="both"/>
            </w:pPr>
            <w:r>
              <w:rPr>
                <w:rFonts w:ascii="仿宋_GB2312" w:hAnsi="仿宋_GB2312" w:cs="仿宋_GB2312" w:eastAsia="仿宋_GB2312"/>
                <w:sz w:val="28"/>
                <w:b/>
              </w:rPr>
              <w:t>2.疑似问题图斑的外业巡查</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1）根据图斑数量和分布状况，委托和组建外业巡查业务组，制作工作计划和外业巡查方案，确定外业分工、车辆、路线；</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2）将影像判读后的图斑通过《国土调查云平台》下发至各外业组人员外业设备中，各外业人员进行现场拍照举证，并咨询图斑使用人基本情况，收集图斑用地批准文件等资料；</w:t>
            </w:r>
          </w:p>
          <w:p>
            <w:pPr>
              <w:pStyle w:val="null5"/>
              <w:ind w:firstLine="562"/>
              <w:jc w:val="both"/>
            </w:pPr>
            <w:r>
              <w:rPr>
                <w:rFonts w:ascii="仿宋_GB2312" w:hAnsi="仿宋_GB2312" w:cs="仿宋_GB2312" w:eastAsia="仿宋_GB2312"/>
                <w:sz w:val="28"/>
                <w:b/>
              </w:rPr>
              <w:t>3.疑似问题图斑的问题研判</w:t>
            </w:r>
          </w:p>
          <w:p>
            <w:pPr>
              <w:pStyle w:val="null5"/>
              <w:ind w:firstLine="560"/>
              <w:jc w:val="both"/>
            </w:pPr>
            <w:r>
              <w:rPr>
                <w:rFonts w:ascii="仿宋_GB2312" w:hAnsi="仿宋_GB2312" w:cs="仿宋_GB2312" w:eastAsia="仿宋_GB2312"/>
                <w:sz w:val="28"/>
              </w:rPr>
              <w:t>根据《耕地卫片监督方案（试行）》和《土地卫片执法图斑合法性判定规则》，结合影像判读和外业巡查的结果，对图斑情况进行分类：合法新增建设用地，非农化违法违规用地，非粮化违法违规用地，其他用地等</w:t>
            </w:r>
          </w:p>
          <w:p>
            <w:pPr>
              <w:pStyle w:val="null5"/>
              <w:ind w:firstLine="562"/>
              <w:jc w:val="both"/>
            </w:pPr>
            <w:r>
              <w:rPr>
                <w:rFonts w:ascii="仿宋_GB2312" w:hAnsi="仿宋_GB2312" w:cs="仿宋_GB2312" w:eastAsia="仿宋_GB2312"/>
                <w:sz w:val="28"/>
                <w:b/>
              </w:rPr>
              <w:t>4.疑似问题图斑</w:t>
            </w:r>
            <w:r>
              <w:rPr>
                <w:rFonts w:ascii="仿宋_GB2312" w:hAnsi="仿宋_GB2312" w:cs="仿宋_GB2312" w:eastAsia="仿宋_GB2312"/>
                <w:sz w:val="28"/>
                <w:b/>
              </w:rPr>
              <w:t>反馈</w:t>
            </w:r>
          </w:p>
          <w:p>
            <w:pPr>
              <w:pStyle w:val="null5"/>
              <w:ind w:firstLine="560"/>
              <w:jc w:val="both"/>
            </w:pPr>
            <w:r>
              <w:rPr>
                <w:rFonts w:ascii="仿宋_GB2312" w:hAnsi="仿宋_GB2312" w:cs="仿宋_GB2312" w:eastAsia="仿宋_GB2312"/>
                <w:sz w:val="28"/>
              </w:rPr>
              <w:t>对上述分类情况通过系统提交举证材料；总结年度工作经验，提出改革措施和建议。</w:t>
            </w:r>
          </w:p>
          <w:p>
            <w:pPr>
              <w:pStyle w:val="null5"/>
              <w:jc w:val="both"/>
              <w:outlineLvl w:val="0"/>
            </w:pPr>
            <w:r>
              <w:rPr>
                <w:rFonts w:ascii="仿宋_GB2312" w:hAnsi="仿宋_GB2312" w:cs="仿宋_GB2312" w:eastAsia="仿宋_GB2312"/>
                <w:sz w:val="28"/>
                <w:b/>
              </w:rPr>
              <w:t>二、工作路线与方法</w:t>
            </w:r>
          </w:p>
          <w:p>
            <w:pPr>
              <w:pStyle w:val="null5"/>
              <w:jc w:val="both"/>
              <w:outlineLvl w:val="1"/>
            </w:pPr>
            <w:r>
              <w:rPr>
                <w:rFonts w:ascii="仿宋_GB2312" w:hAnsi="仿宋_GB2312" w:cs="仿宋_GB2312" w:eastAsia="仿宋_GB2312"/>
                <w:sz w:val="28"/>
                <w:b/>
              </w:rPr>
              <w:t>（一）技术路线</w:t>
            </w:r>
          </w:p>
          <w:p>
            <w:pPr>
              <w:pStyle w:val="null5"/>
              <w:ind w:firstLine="560"/>
              <w:jc w:val="both"/>
            </w:pPr>
            <w:r>
              <w:rPr>
                <w:rFonts w:ascii="仿宋_GB2312" w:hAnsi="仿宋_GB2312" w:cs="仿宋_GB2312" w:eastAsia="仿宋_GB2312"/>
                <w:sz w:val="28"/>
              </w:rPr>
              <w:t>根据呼和浩特市</w:t>
            </w:r>
            <w:r>
              <w:rPr>
                <w:rFonts w:ascii="仿宋_GB2312" w:hAnsi="仿宋_GB2312" w:cs="仿宋_GB2312" w:eastAsia="仿宋_GB2312"/>
                <w:sz w:val="28"/>
              </w:rPr>
              <w:t>2023年度国土变更调查成果，提取年度全市耕地流入流出变化图斑，并结合审批、卫片等数据</w:t>
            </w:r>
            <w:r>
              <w:rPr>
                <w:rFonts w:ascii="仿宋_GB2312" w:hAnsi="仿宋_GB2312" w:cs="仿宋_GB2312" w:eastAsia="仿宋_GB2312"/>
                <w:sz w:val="28"/>
              </w:rPr>
              <w:t>运用卫星遥感等现代信息技术，动态监测监管耕地（包括永久基本农田）变为林地、园地、草地等其他类型农用地及农业设施建设用地</w:t>
            </w:r>
            <w:r>
              <w:rPr>
                <w:rFonts w:ascii="仿宋_GB2312" w:hAnsi="仿宋_GB2312" w:cs="仿宋_GB2312" w:eastAsia="仿宋_GB2312"/>
                <w:sz w:val="28"/>
              </w:rPr>
              <w:t>和建设用地</w:t>
            </w:r>
            <w:r>
              <w:rPr>
                <w:rFonts w:ascii="仿宋_GB2312" w:hAnsi="仿宋_GB2312" w:cs="仿宋_GB2312" w:eastAsia="仿宋_GB2312"/>
                <w:sz w:val="28"/>
              </w:rPr>
              <w:t>等</w:t>
            </w:r>
            <w:r>
              <w:rPr>
                <w:rFonts w:ascii="仿宋_GB2312" w:hAnsi="仿宋_GB2312" w:cs="仿宋_GB2312" w:eastAsia="仿宋_GB2312"/>
                <w:sz w:val="28"/>
              </w:rPr>
              <w:t>“非耕地”</w:t>
            </w:r>
            <w:r>
              <w:rPr>
                <w:rFonts w:ascii="仿宋_GB2312" w:hAnsi="仿宋_GB2312" w:cs="仿宋_GB2312" w:eastAsia="仿宋_GB2312"/>
                <w:sz w:val="28"/>
              </w:rPr>
              <w:t>情况。</w:t>
            </w:r>
          </w:p>
          <w:p>
            <w:pPr>
              <w:pStyle w:val="null5"/>
              <w:jc w:val="both"/>
              <w:outlineLvl w:val="1"/>
            </w:pPr>
            <w:r>
              <w:rPr>
                <w:rFonts w:ascii="仿宋_GB2312" w:hAnsi="仿宋_GB2312" w:cs="仿宋_GB2312" w:eastAsia="仿宋_GB2312"/>
                <w:sz w:val="28"/>
                <w:b/>
              </w:rPr>
              <w:t>（二）技术方法</w:t>
            </w:r>
          </w:p>
          <w:p>
            <w:pPr>
              <w:pStyle w:val="null5"/>
              <w:ind w:firstLine="560"/>
              <w:jc w:val="both"/>
            </w:pPr>
            <w:r>
              <w:rPr>
                <w:rFonts w:ascii="仿宋_GB2312" w:hAnsi="仿宋_GB2312" w:cs="仿宋_GB2312" w:eastAsia="仿宋_GB2312"/>
                <w:sz w:val="28"/>
              </w:rPr>
              <w:t>耕地保护监测监管工作主要分八大步骤：影像判读、外业调查、图斑分类、数据审核、数据反馈、情况报告。</w:t>
            </w:r>
            <w:r>
              <w:rPr>
                <w:rFonts w:ascii="仿宋_GB2312" w:hAnsi="仿宋_GB2312" w:cs="仿宋_GB2312" w:eastAsia="仿宋_GB2312"/>
                <w:sz w:val="28"/>
              </w:rPr>
              <w:t>通过</w:t>
            </w:r>
            <w:r>
              <w:rPr>
                <w:rFonts w:ascii="仿宋_GB2312" w:hAnsi="仿宋_GB2312" w:cs="仿宋_GB2312" w:eastAsia="仿宋_GB2312"/>
                <w:sz w:val="28"/>
              </w:rPr>
              <w:t>“两下两上” 厘清耕地利用总量、变化类别、时空分布，对侵蚀耕地的行为进行整改纠正，实现耕地保护长效治理，守住耕地红线。</w:t>
            </w:r>
          </w:p>
          <w:p>
            <w:pPr>
              <w:pStyle w:val="null5"/>
              <w:ind w:firstLine="562"/>
              <w:jc w:val="both"/>
            </w:pPr>
            <w:r>
              <w:rPr>
                <w:rFonts w:ascii="仿宋_GB2312" w:hAnsi="仿宋_GB2312" w:cs="仿宋_GB2312" w:eastAsia="仿宋_GB2312"/>
                <w:sz w:val="28"/>
                <w:b/>
              </w:rPr>
              <w:t>（三）人员要求</w:t>
            </w:r>
          </w:p>
          <w:p>
            <w:pPr>
              <w:pStyle w:val="null5"/>
              <w:ind w:firstLine="560"/>
              <w:jc w:val="both"/>
            </w:pPr>
            <w:r>
              <w:rPr>
                <w:rFonts w:ascii="仿宋_GB2312" w:hAnsi="仿宋_GB2312" w:cs="仿宋_GB2312" w:eastAsia="仿宋_GB2312"/>
                <w:sz w:val="28"/>
              </w:rPr>
              <w:t>1、项目负责人要求：拟派项目负责人具备高级职称（含副高）或注册测绘师；</w:t>
            </w:r>
          </w:p>
          <w:p>
            <w:pPr>
              <w:pStyle w:val="null5"/>
              <w:ind w:firstLine="560"/>
              <w:jc w:val="both"/>
            </w:pPr>
            <w:r>
              <w:rPr>
                <w:rFonts w:ascii="仿宋_GB2312" w:hAnsi="仿宋_GB2312" w:cs="仿宋_GB2312" w:eastAsia="仿宋_GB2312"/>
                <w:sz w:val="28"/>
              </w:rPr>
              <w:t>2、团队人员：拟投入本项目的团队人员不少于10人，并具备初级或以上职称。</w:t>
            </w:r>
          </w:p>
          <w:p>
            <w:pPr>
              <w:pStyle w:val="null5"/>
              <w:ind w:firstLine="562"/>
              <w:jc w:val="both"/>
            </w:pPr>
            <w:r>
              <w:rPr>
                <w:rFonts w:ascii="仿宋_GB2312" w:hAnsi="仿宋_GB2312" w:cs="仿宋_GB2312" w:eastAsia="仿宋_GB2312"/>
                <w:sz w:val="28"/>
                <w:b/>
              </w:rPr>
              <w:t>（四）售后要求</w:t>
            </w:r>
          </w:p>
          <w:p>
            <w:pPr>
              <w:pStyle w:val="null5"/>
              <w:ind w:firstLine="560"/>
              <w:jc w:val="both"/>
            </w:pPr>
            <w:r>
              <w:rPr>
                <w:rFonts w:ascii="仿宋_GB2312" w:hAnsi="仿宋_GB2312" w:cs="仿宋_GB2312" w:eastAsia="仿宋_GB2312"/>
                <w:sz w:val="28"/>
              </w:rPr>
              <w:t>投标人针对政策调整应对、沟通协调机制、售后技术支撑、专业售后团队、其他增值服务等提供相应的售后服务方案。</w:t>
            </w:r>
          </w:p>
          <w:p>
            <w:pPr>
              <w:pStyle w:val="null5"/>
              <w:jc w:val="both"/>
              <w:outlineLvl w:val="0"/>
            </w:pPr>
            <w:r>
              <w:rPr>
                <w:rFonts w:ascii="仿宋_GB2312" w:hAnsi="仿宋_GB2312" w:cs="仿宋_GB2312" w:eastAsia="仿宋_GB2312"/>
                <w:sz w:val="28"/>
                <w:b/>
              </w:rPr>
              <w:t>三</w:t>
            </w:r>
            <w:r>
              <w:rPr>
                <w:rFonts w:ascii="仿宋_GB2312" w:hAnsi="仿宋_GB2312" w:cs="仿宋_GB2312" w:eastAsia="仿宋_GB2312"/>
                <w:sz w:val="28"/>
                <w:b/>
              </w:rPr>
              <w:t>、考核指标和预期成果</w:t>
            </w:r>
          </w:p>
          <w:p>
            <w:pPr>
              <w:pStyle w:val="null5"/>
              <w:jc w:val="both"/>
              <w:outlineLvl w:val="1"/>
            </w:pPr>
            <w:r>
              <w:rPr>
                <w:rFonts w:ascii="仿宋_GB2312" w:hAnsi="仿宋_GB2312" w:cs="仿宋_GB2312" w:eastAsia="仿宋_GB2312"/>
                <w:sz w:val="28"/>
                <w:b/>
              </w:rPr>
              <w:t>（一）考核指标</w:t>
            </w:r>
          </w:p>
          <w:tbl>
            <w:tblPr>
              <w:tblBorders>
                <w:top w:val="none" w:color="000000" w:sz="4"/>
                <w:left w:val="none" w:color="000000" w:sz="4"/>
                <w:bottom w:val="none" w:color="000000" w:sz="4"/>
                <w:right w:val="none" w:color="000000" w:sz="4"/>
                <w:insideH w:val="none"/>
                <w:insideV w:val="none"/>
              </w:tblBorders>
            </w:tblPr>
            <w:tblGrid>
              <w:gridCol w:w="456"/>
              <w:gridCol w:w="305"/>
              <w:gridCol w:w="1470"/>
              <w:gridCol w:w="321"/>
            </w:tblGrid>
            <w:tr>
              <w:tc>
                <w:tcPr>
                  <w:tcW w:type="dxa" w:w="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b/>
                      <w:color w:val="000000"/>
                    </w:rPr>
                    <w:t>指标</w:t>
                  </w:r>
                </w:p>
              </w:tc>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b/>
                      <w:color w:val="000000"/>
                    </w:rPr>
                    <w:t>分值</w:t>
                  </w:r>
                </w:p>
              </w:tc>
              <w:tc>
                <w:tcPr>
                  <w:tcW w:type="dxa" w:w="1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b/>
                      <w:color w:val="000000"/>
                    </w:rPr>
                    <w:t>指标打分细则</w:t>
                  </w:r>
                </w:p>
              </w:tc>
              <w:tc>
                <w:tcPr>
                  <w:tcW w:type="dxa" w:w="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b/>
                      <w:color w:val="000000"/>
                    </w:rPr>
                    <w:t>得分</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color w:val="000000"/>
                    </w:rPr>
                    <w:t>数量指标</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color w:val="000000"/>
                    </w:rPr>
                    <w:t>50</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color w:val="000000"/>
                    </w:rPr>
                    <w:t>提取图斑监测监管无遗漏，</w:t>
                  </w:r>
                  <w:r>
                    <w:rPr>
                      <w:rFonts w:ascii="仿宋_GB2312" w:hAnsi="仿宋_GB2312" w:cs="仿宋_GB2312" w:eastAsia="仿宋_GB2312"/>
                      <w:sz w:val="28"/>
                      <w:color w:val="000000"/>
                    </w:rPr>
                    <w:t>100%进行监测监管得50分，每遗漏1%扣2分。</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56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color w:val="000000"/>
                    </w:rPr>
                    <w:t>质量指标</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color w:val="000000"/>
                    </w:rPr>
                    <w:t>50</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color w:val="000000"/>
                    </w:rPr>
                    <w:t>提取图斑分类判读，分类无误</w:t>
                  </w:r>
                  <w:r>
                    <w:rPr>
                      <w:rFonts w:ascii="仿宋_GB2312" w:hAnsi="仿宋_GB2312" w:cs="仿宋_GB2312" w:eastAsia="仿宋_GB2312"/>
                      <w:sz w:val="28"/>
                      <w:color w:val="000000"/>
                    </w:rPr>
                    <w:t>成果</w:t>
                  </w:r>
                  <w:r>
                    <w:rPr>
                      <w:rFonts w:ascii="仿宋_GB2312" w:hAnsi="仿宋_GB2312" w:cs="仿宋_GB2312" w:eastAsia="仿宋_GB2312"/>
                      <w:sz w:val="28"/>
                      <w:color w:val="000000"/>
                    </w:rPr>
                    <w:t>100%通过审核得50分，每有1%个图斑未通过扣2分。</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56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b/>
                      <w:color w:val="000000"/>
                    </w:rPr>
                    <w:t>总计</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b/>
                      <w:color w:val="000000"/>
                    </w:rPr>
                    <w:t>100</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562"/>
                    <w:jc w:val="center"/>
                  </w:pPr>
                  <w:r>
                    <w:rPr>
                      <w:rFonts w:ascii="仿宋_GB2312" w:hAnsi="仿宋_GB2312" w:cs="仿宋_GB2312" w:eastAsia="仿宋_GB2312"/>
                      <w:sz w:val="28"/>
                      <w:b/>
                      <w:color w:val="000000"/>
                    </w:rPr>
                    <w:t>——</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562"/>
                    <w:jc w:val="center"/>
                  </w:pPr>
                </w:p>
              </w:tc>
            </w:tr>
          </w:tbl>
          <w:p>
            <w:pPr>
              <w:pStyle w:val="null5"/>
              <w:jc w:val="both"/>
              <w:outlineLvl w:val="1"/>
            </w:pPr>
            <w:r>
              <w:rPr>
                <w:rFonts w:ascii="仿宋_GB2312" w:hAnsi="仿宋_GB2312" w:cs="仿宋_GB2312" w:eastAsia="仿宋_GB2312"/>
                <w:sz w:val="28"/>
                <w:b/>
              </w:rPr>
              <w:t>（二）预期成果</w:t>
            </w:r>
          </w:p>
          <w:p>
            <w:pPr>
              <w:pStyle w:val="null5"/>
              <w:ind w:firstLine="562"/>
              <w:jc w:val="both"/>
            </w:pPr>
            <w:r>
              <w:rPr>
                <w:rFonts w:ascii="仿宋_GB2312" w:hAnsi="仿宋_GB2312" w:cs="仿宋_GB2312" w:eastAsia="仿宋_GB2312"/>
                <w:sz w:val="28"/>
                <w:b/>
              </w:rPr>
              <w:t>1.文字成果：</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）呼和浩特市</w:t>
            </w:r>
            <w:r>
              <w:rPr>
                <w:rFonts w:ascii="仿宋_GB2312" w:hAnsi="仿宋_GB2312" w:cs="仿宋_GB2312" w:eastAsia="仿宋_GB2312"/>
                <w:sz w:val="28"/>
              </w:rPr>
              <w:t>2024年度</w:t>
            </w:r>
            <w:r>
              <w:rPr>
                <w:rFonts w:ascii="仿宋_GB2312" w:hAnsi="仿宋_GB2312" w:cs="仿宋_GB2312" w:eastAsia="仿宋_GB2312"/>
                <w:sz w:val="28"/>
              </w:rPr>
              <w:t>耕地保护监测监管</w:t>
            </w:r>
            <w:r>
              <w:rPr>
                <w:rFonts w:ascii="仿宋_GB2312" w:hAnsi="仿宋_GB2312" w:cs="仿宋_GB2312" w:eastAsia="仿宋_GB2312"/>
                <w:sz w:val="28"/>
              </w:rPr>
              <w:t>（第一工作区）</w:t>
            </w:r>
            <w:r>
              <w:rPr>
                <w:rFonts w:ascii="仿宋_GB2312" w:hAnsi="仿宋_GB2312" w:cs="仿宋_GB2312" w:eastAsia="仿宋_GB2312"/>
                <w:sz w:val="28"/>
              </w:rPr>
              <w:t>工作报告；</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）呼和浩特市</w:t>
            </w:r>
            <w:r>
              <w:rPr>
                <w:rFonts w:ascii="仿宋_GB2312" w:hAnsi="仿宋_GB2312" w:cs="仿宋_GB2312" w:eastAsia="仿宋_GB2312"/>
                <w:sz w:val="28"/>
              </w:rPr>
              <w:t>2024年度</w:t>
            </w:r>
            <w:r>
              <w:rPr>
                <w:rFonts w:ascii="仿宋_GB2312" w:hAnsi="仿宋_GB2312" w:cs="仿宋_GB2312" w:eastAsia="仿宋_GB2312"/>
                <w:sz w:val="28"/>
              </w:rPr>
              <w:t>耕地保护监测监管</w:t>
            </w:r>
            <w:r>
              <w:rPr>
                <w:rFonts w:ascii="仿宋_GB2312" w:hAnsi="仿宋_GB2312" w:cs="仿宋_GB2312" w:eastAsia="仿宋_GB2312"/>
                <w:sz w:val="28"/>
              </w:rPr>
              <w:t>（第一工作区）</w:t>
            </w:r>
            <w:r>
              <w:rPr>
                <w:rFonts w:ascii="仿宋_GB2312" w:hAnsi="仿宋_GB2312" w:cs="仿宋_GB2312" w:eastAsia="仿宋_GB2312"/>
                <w:sz w:val="28"/>
              </w:rPr>
              <w:t>技术报告</w:t>
            </w:r>
            <w:r>
              <w:rPr>
                <w:rFonts w:ascii="仿宋_GB2312" w:hAnsi="仿宋_GB2312" w:cs="仿宋_GB2312" w:eastAsia="仿宋_GB2312"/>
                <w:sz w:val="28"/>
              </w:rPr>
              <w:t>。</w:t>
            </w:r>
          </w:p>
          <w:p>
            <w:pPr>
              <w:pStyle w:val="null5"/>
              <w:ind w:firstLine="562"/>
              <w:jc w:val="both"/>
            </w:pPr>
            <w:r>
              <w:rPr>
                <w:rFonts w:ascii="仿宋_GB2312" w:hAnsi="仿宋_GB2312" w:cs="仿宋_GB2312" w:eastAsia="仿宋_GB2312"/>
                <w:sz w:val="28"/>
                <w:b/>
              </w:rPr>
              <w:t>成果格式和数量：电子版</w:t>
            </w:r>
            <w:r>
              <w:rPr>
                <w:rFonts w:ascii="仿宋_GB2312" w:hAnsi="仿宋_GB2312" w:cs="仿宋_GB2312" w:eastAsia="仿宋_GB2312"/>
                <w:sz w:val="28"/>
                <w:b/>
              </w:rPr>
              <w:t>5份、纸质版5份。</w:t>
            </w:r>
          </w:p>
          <w:p>
            <w:pPr>
              <w:pStyle w:val="null5"/>
              <w:ind w:firstLine="562"/>
              <w:jc w:val="both"/>
            </w:pPr>
            <w:r>
              <w:rPr>
                <w:rFonts w:ascii="仿宋_GB2312" w:hAnsi="仿宋_GB2312" w:cs="仿宋_GB2312" w:eastAsia="仿宋_GB2312"/>
                <w:sz w:val="28"/>
                <w:b/>
              </w:rPr>
              <w:t>2.数据库成果：</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1）原始图斑矢量数据；</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2）影像判读后矢量数据；</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3）外业巡查后矢量数据；</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4）图斑分类后矢量数据；</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5）审核通过后矢量数据。</w:t>
            </w:r>
          </w:p>
          <w:p>
            <w:pPr>
              <w:pStyle w:val="null5"/>
              <w:ind w:firstLine="562"/>
              <w:jc w:val="both"/>
            </w:pPr>
            <w:r>
              <w:rPr>
                <w:rFonts w:ascii="仿宋_GB2312" w:hAnsi="仿宋_GB2312" w:cs="仿宋_GB2312" w:eastAsia="仿宋_GB2312"/>
                <w:sz w:val="28"/>
                <w:b/>
              </w:rPr>
              <w:t>成果格式和数量：电子版</w:t>
            </w:r>
            <w:r>
              <w:rPr>
                <w:rFonts w:ascii="仿宋_GB2312" w:hAnsi="仿宋_GB2312" w:cs="仿宋_GB2312" w:eastAsia="仿宋_GB2312"/>
                <w:sz w:val="28"/>
                <w:b/>
              </w:rPr>
              <w:t>5份。</w:t>
            </w:r>
          </w:p>
          <w:p>
            <w:pPr>
              <w:pStyle w:val="null5"/>
              <w:ind w:firstLine="562"/>
              <w:jc w:val="both"/>
            </w:pPr>
            <w:r>
              <w:rPr>
                <w:rFonts w:ascii="仿宋_GB2312" w:hAnsi="仿宋_GB2312" w:cs="仿宋_GB2312" w:eastAsia="仿宋_GB2312"/>
                <w:sz w:val="28"/>
                <w:b/>
              </w:rPr>
              <w:t>3.资料汇编：</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1）外业调查表；</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2）外业调查图；</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3）分类举证材料</w:t>
            </w:r>
            <w:r>
              <w:rPr>
                <w:rFonts w:ascii="仿宋_GB2312" w:hAnsi="仿宋_GB2312" w:cs="仿宋_GB2312" w:eastAsia="仿宋_GB2312"/>
                <w:sz w:val="28"/>
              </w:rPr>
              <w:t>。</w:t>
            </w:r>
          </w:p>
          <w:p>
            <w:pPr>
              <w:pStyle w:val="null5"/>
              <w:ind w:firstLine="562"/>
              <w:jc w:val="both"/>
            </w:pPr>
            <w:r>
              <w:rPr>
                <w:rFonts w:ascii="仿宋_GB2312" w:hAnsi="仿宋_GB2312" w:cs="仿宋_GB2312" w:eastAsia="仿宋_GB2312"/>
                <w:sz w:val="28"/>
                <w:b/>
              </w:rPr>
              <w:t>成果格式和数量：电子版</w:t>
            </w:r>
            <w:r>
              <w:rPr>
                <w:rFonts w:ascii="仿宋_GB2312" w:hAnsi="仿宋_GB2312" w:cs="仿宋_GB2312" w:eastAsia="仿宋_GB2312"/>
                <w:sz w:val="28"/>
                <w:b/>
              </w:rPr>
              <w:t>5份、纸质版5份。</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标的名称：呼和浩特市耕地保护监测监管（第二作业区）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outlineLvl w:val="0"/>
            </w:pPr>
            <w:r>
              <w:rPr>
                <w:rFonts w:ascii="仿宋_GB2312" w:hAnsi="仿宋_GB2312" w:cs="仿宋_GB2312" w:eastAsia="仿宋_GB2312"/>
                <w:sz w:val="28"/>
                <w:b/>
              </w:rPr>
              <w:t>一、</w:t>
            </w:r>
            <w:r>
              <w:rPr>
                <w:rFonts w:ascii="仿宋_GB2312" w:hAnsi="仿宋_GB2312" w:cs="仿宋_GB2312" w:eastAsia="仿宋_GB2312"/>
                <w:sz w:val="28"/>
                <w:b/>
              </w:rPr>
              <w:t>工作目标与内容</w:t>
            </w:r>
          </w:p>
          <w:p>
            <w:pPr>
              <w:pStyle w:val="null5"/>
              <w:jc w:val="both"/>
              <w:outlineLvl w:val="1"/>
            </w:pPr>
            <w:r>
              <w:rPr>
                <w:rFonts w:ascii="仿宋_GB2312" w:hAnsi="仿宋_GB2312" w:cs="仿宋_GB2312" w:eastAsia="仿宋_GB2312"/>
                <w:sz w:val="28"/>
                <w:b/>
              </w:rPr>
              <w:t>（一）</w:t>
            </w:r>
            <w:r>
              <w:rPr>
                <w:rFonts w:ascii="仿宋_GB2312" w:hAnsi="仿宋_GB2312" w:cs="仿宋_GB2312" w:eastAsia="仿宋_GB2312"/>
                <w:sz w:val="28"/>
                <w:b/>
              </w:rPr>
              <w:t>任务背景</w:t>
            </w:r>
          </w:p>
          <w:p>
            <w:pPr>
              <w:pStyle w:val="null5"/>
              <w:ind w:firstLine="560"/>
              <w:jc w:val="left"/>
            </w:pPr>
            <w:r>
              <w:rPr>
                <w:rFonts w:ascii="仿宋_GB2312" w:hAnsi="仿宋_GB2312" w:cs="仿宋_GB2312" w:eastAsia="仿宋_GB2312"/>
                <w:sz w:val="28"/>
              </w:rPr>
              <w:t>2024年8月，</w:t>
            </w:r>
            <w:r>
              <w:rPr>
                <w:rFonts w:ascii="仿宋_GB2312" w:hAnsi="仿宋_GB2312" w:cs="仿宋_GB2312" w:eastAsia="仿宋_GB2312"/>
                <w:sz w:val="28"/>
              </w:rPr>
              <w:t>内蒙古自治区自然资源厅</w:t>
            </w:r>
            <w:r>
              <w:rPr>
                <w:rFonts w:ascii="仿宋_GB2312" w:hAnsi="仿宋_GB2312" w:cs="仿宋_GB2312" w:eastAsia="仿宋_GB2312"/>
                <w:sz w:val="28"/>
              </w:rPr>
              <w:t>和</w:t>
            </w:r>
            <w:r>
              <w:rPr>
                <w:rFonts w:ascii="仿宋_GB2312" w:hAnsi="仿宋_GB2312" w:cs="仿宋_GB2312" w:eastAsia="仿宋_GB2312"/>
                <w:sz w:val="28"/>
              </w:rPr>
              <w:t>财政厅</w:t>
            </w:r>
            <w:r>
              <w:rPr>
                <w:rFonts w:ascii="仿宋_GB2312" w:hAnsi="仿宋_GB2312" w:cs="仿宋_GB2312" w:eastAsia="仿宋_GB2312"/>
                <w:sz w:val="28"/>
              </w:rPr>
              <w:t>印发了《</w:t>
            </w:r>
            <w:r>
              <w:rPr>
                <w:rFonts w:ascii="仿宋_GB2312" w:hAnsi="仿宋_GB2312" w:cs="仿宋_GB2312" w:eastAsia="仿宋_GB2312"/>
                <w:sz w:val="28"/>
              </w:rPr>
              <w:t>关于申报自治区耕地保护考核奖励基金项目储备库入库的通知》（内自然资字〔</w:t>
            </w:r>
            <w:r>
              <w:rPr>
                <w:rFonts w:ascii="仿宋_GB2312" w:hAnsi="仿宋_GB2312" w:cs="仿宋_GB2312" w:eastAsia="仿宋_GB2312"/>
                <w:sz w:val="28"/>
              </w:rPr>
              <w:t>2024〕429号）</w:t>
            </w:r>
            <w:r>
              <w:rPr>
                <w:rFonts w:ascii="仿宋_GB2312" w:hAnsi="仿宋_GB2312" w:cs="仿宋_GB2312" w:eastAsia="仿宋_GB2312"/>
                <w:sz w:val="28"/>
              </w:rPr>
              <w:t>文件，呼和浩特市本级拟按照文件要求，申报《呼和浩特市耕地保护监测监管项目》，由市级统一开展疑似问题图斑的</w:t>
            </w:r>
            <w:r>
              <w:rPr>
                <w:rFonts w:ascii="仿宋_GB2312" w:hAnsi="仿宋_GB2312" w:cs="仿宋_GB2312" w:eastAsia="仿宋_GB2312"/>
                <w:sz w:val="28"/>
              </w:rPr>
              <w:t>影像判读、外业调查、图斑分类、数据审核、数据反馈、情况报告</w:t>
            </w:r>
            <w:r>
              <w:rPr>
                <w:rFonts w:ascii="仿宋_GB2312" w:hAnsi="仿宋_GB2312" w:cs="仿宋_GB2312" w:eastAsia="仿宋_GB2312"/>
                <w:sz w:val="28"/>
              </w:rPr>
              <w:t>等工作。</w:t>
            </w:r>
          </w:p>
          <w:p>
            <w:pPr>
              <w:pStyle w:val="null5"/>
              <w:jc w:val="both"/>
              <w:outlineLvl w:val="1"/>
            </w:pPr>
            <w:r>
              <w:rPr>
                <w:rFonts w:ascii="仿宋_GB2312" w:hAnsi="仿宋_GB2312" w:cs="仿宋_GB2312" w:eastAsia="仿宋_GB2312"/>
                <w:sz w:val="28"/>
                <w:b/>
              </w:rPr>
              <w:t>（二）工作目标及意义</w:t>
            </w:r>
          </w:p>
          <w:p>
            <w:pPr>
              <w:pStyle w:val="null5"/>
              <w:ind w:firstLine="562"/>
              <w:jc w:val="both"/>
            </w:pPr>
            <w:r>
              <w:rPr>
                <w:rFonts w:ascii="仿宋_GB2312" w:hAnsi="仿宋_GB2312" w:cs="仿宋_GB2312" w:eastAsia="仿宋_GB2312"/>
                <w:sz w:val="28"/>
                <w:b/>
              </w:rPr>
              <w:t>1.工作目标</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1）监督全市耕地和永久基本农田保护与利用情况。</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2）进一步遏制耕地“非农化”与“非粮化”行为</w:t>
            </w:r>
            <w:r>
              <w:rPr>
                <w:rFonts w:ascii="仿宋_GB2312" w:hAnsi="仿宋_GB2312" w:cs="仿宋_GB2312" w:eastAsia="仿宋_GB2312"/>
                <w:sz w:val="28"/>
              </w:rPr>
              <w:t>。</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强化监测监管成果应用</w:t>
            </w:r>
            <w:r>
              <w:rPr>
                <w:rFonts w:ascii="仿宋_GB2312" w:hAnsi="仿宋_GB2312" w:cs="仿宋_GB2312" w:eastAsia="仿宋_GB2312"/>
                <w:sz w:val="28"/>
              </w:rPr>
              <w:t>。</w:t>
            </w:r>
          </w:p>
          <w:p>
            <w:pPr>
              <w:pStyle w:val="null5"/>
              <w:ind w:firstLine="562"/>
              <w:jc w:val="both"/>
            </w:pPr>
            <w:r>
              <w:rPr>
                <w:rFonts w:ascii="仿宋_GB2312" w:hAnsi="仿宋_GB2312" w:cs="仿宋_GB2312" w:eastAsia="仿宋_GB2312"/>
                <w:sz w:val="28"/>
                <w:b/>
              </w:rPr>
              <w:t>2.工作意义</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1）对违法违规占用耕地问题早发现、早制止</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2）保障耕地是粮食生产的重要基础</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3）为地方开展耕地保护实施奖惩提供依据</w:t>
            </w:r>
          </w:p>
          <w:p>
            <w:pPr>
              <w:pStyle w:val="null5"/>
              <w:jc w:val="both"/>
              <w:outlineLvl w:val="1"/>
            </w:pPr>
            <w:r>
              <w:rPr>
                <w:rFonts w:ascii="仿宋_GB2312" w:hAnsi="仿宋_GB2312" w:cs="仿宋_GB2312" w:eastAsia="仿宋_GB2312"/>
                <w:sz w:val="28"/>
                <w:b/>
              </w:rPr>
              <w:t>（三）主要工作内容</w:t>
            </w:r>
          </w:p>
          <w:p>
            <w:pPr>
              <w:pStyle w:val="null5"/>
              <w:ind w:firstLine="562"/>
              <w:jc w:val="both"/>
            </w:pPr>
            <w:r>
              <w:rPr>
                <w:rFonts w:ascii="仿宋_GB2312" w:hAnsi="仿宋_GB2312" w:cs="仿宋_GB2312" w:eastAsia="仿宋_GB2312"/>
                <w:sz w:val="28"/>
                <w:b/>
              </w:rPr>
              <w:t>1.疑似问题图斑的影像判读</w:t>
            </w:r>
          </w:p>
          <w:p>
            <w:pPr>
              <w:pStyle w:val="null5"/>
              <w:ind w:firstLine="560"/>
              <w:jc w:val="both"/>
            </w:pPr>
            <w:r>
              <w:rPr>
                <w:rFonts w:ascii="仿宋_GB2312" w:hAnsi="仿宋_GB2312" w:cs="仿宋_GB2312" w:eastAsia="仿宋_GB2312"/>
                <w:sz w:val="28"/>
              </w:rPr>
              <w:t>根据自治区下发图斑和呼和浩特市</w:t>
            </w:r>
            <w:r>
              <w:rPr>
                <w:rFonts w:ascii="仿宋_GB2312" w:hAnsi="仿宋_GB2312" w:cs="仿宋_GB2312" w:eastAsia="仿宋_GB2312"/>
                <w:sz w:val="28"/>
              </w:rPr>
              <w:t>2023年度国土变更调查成果，提取年度和林、清水河、赛罕耕地流入流出变化图斑，并结合审批、卫片等数据</w:t>
            </w:r>
            <w:r>
              <w:rPr>
                <w:rFonts w:ascii="仿宋_GB2312" w:hAnsi="仿宋_GB2312" w:cs="仿宋_GB2312" w:eastAsia="仿宋_GB2312"/>
                <w:sz w:val="28"/>
              </w:rPr>
              <w:t>开展年度</w:t>
            </w:r>
            <w:r>
              <w:rPr>
                <w:rFonts w:ascii="仿宋_GB2312" w:hAnsi="仿宋_GB2312" w:cs="仿宋_GB2312" w:eastAsia="仿宋_GB2312"/>
                <w:sz w:val="28"/>
              </w:rPr>
              <w:t>核查</w:t>
            </w:r>
            <w:r>
              <w:rPr>
                <w:rFonts w:ascii="仿宋_GB2312" w:hAnsi="仿宋_GB2312" w:cs="仿宋_GB2312" w:eastAsia="仿宋_GB2312"/>
                <w:sz w:val="28"/>
              </w:rPr>
              <w:t>影像判读，主要工作内容：</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1）根据</w:t>
            </w:r>
            <w:r>
              <w:rPr>
                <w:rFonts w:ascii="仿宋_GB2312" w:hAnsi="仿宋_GB2312" w:cs="仿宋_GB2312" w:eastAsia="仿宋_GB2312"/>
                <w:sz w:val="28"/>
              </w:rPr>
              <w:t>和林、清水河、赛罕</w:t>
            </w:r>
            <w:r>
              <w:rPr>
                <w:rFonts w:ascii="仿宋_GB2312" w:hAnsi="仿宋_GB2312" w:cs="仿宋_GB2312" w:eastAsia="仿宋_GB2312"/>
                <w:sz w:val="28"/>
              </w:rPr>
              <w:t>图斑数量，</w:t>
            </w:r>
            <w:r>
              <w:rPr>
                <w:rFonts w:ascii="仿宋_GB2312" w:hAnsi="仿宋_GB2312" w:cs="仿宋_GB2312" w:eastAsia="仿宋_GB2312"/>
                <w:sz w:val="28"/>
              </w:rPr>
              <w:t>开展</w:t>
            </w:r>
            <w:r>
              <w:rPr>
                <w:rFonts w:ascii="仿宋_GB2312" w:hAnsi="仿宋_GB2312" w:cs="仿宋_GB2312" w:eastAsia="仿宋_GB2312"/>
                <w:sz w:val="28"/>
              </w:rPr>
              <w:t>内业判读业务，制作工作计划，确定业务分工；</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在图斑矢量数据的基础上，添加判读信息的字段，包括用地性质、面积、坐标、所在行政区、权属性质等；</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3）结合我市最新影像图，根据《国土空间调查、规划、用途管制用地用海分类指南》，判读图斑的用地性质，细分至二级类，有条件的图斑可细分至三级类；</w:t>
            </w:r>
          </w:p>
          <w:p>
            <w:pPr>
              <w:pStyle w:val="null5"/>
              <w:ind w:firstLine="562"/>
              <w:jc w:val="both"/>
            </w:pPr>
            <w:r>
              <w:rPr>
                <w:rFonts w:ascii="仿宋_GB2312" w:hAnsi="仿宋_GB2312" w:cs="仿宋_GB2312" w:eastAsia="仿宋_GB2312"/>
                <w:sz w:val="28"/>
                <w:b/>
              </w:rPr>
              <w:t>2.疑似问题图斑的外业巡查</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1）根据图斑数量和分布状况，委托和组建外业巡查业务组，制作工作计划和外业巡查方案，确定外业分工、车辆、路线；</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2）将影像判读后的图斑通过《国土调查云平台》下发至各外业组人员外业设备中，各外业人员进行现场拍照举证，并咨询图斑使用人基本情况，收集图斑用地批准文件等资料；</w:t>
            </w:r>
          </w:p>
          <w:p>
            <w:pPr>
              <w:pStyle w:val="null5"/>
              <w:ind w:firstLine="562"/>
              <w:jc w:val="both"/>
            </w:pPr>
            <w:r>
              <w:rPr>
                <w:rFonts w:ascii="仿宋_GB2312" w:hAnsi="仿宋_GB2312" w:cs="仿宋_GB2312" w:eastAsia="仿宋_GB2312"/>
                <w:sz w:val="28"/>
                <w:b/>
              </w:rPr>
              <w:t>3.疑似问题图斑的问题研判</w:t>
            </w:r>
          </w:p>
          <w:p>
            <w:pPr>
              <w:pStyle w:val="null5"/>
              <w:ind w:firstLine="560"/>
              <w:jc w:val="both"/>
            </w:pPr>
            <w:r>
              <w:rPr>
                <w:rFonts w:ascii="仿宋_GB2312" w:hAnsi="仿宋_GB2312" w:cs="仿宋_GB2312" w:eastAsia="仿宋_GB2312"/>
                <w:sz w:val="28"/>
              </w:rPr>
              <w:t>根据《耕地卫片监督方案（试行）》和《土地卫片执法图斑合法性判定规则》，结合影像判读和外业巡查的结果，对图斑情况进行分类：合法新增建设用地，非农化违法违规用地，非粮化违法违规用地，其他用地等</w:t>
            </w:r>
          </w:p>
          <w:p>
            <w:pPr>
              <w:pStyle w:val="null5"/>
              <w:ind w:firstLine="562"/>
              <w:jc w:val="both"/>
            </w:pPr>
            <w:r>
              <w:rPr>
                <w:rFonts w:ascii="仿宋_GB2312" w:hAnsi="仿宋_GB2312" w:cs="仿宋_GB2312" w:eastAsia="仿宋_GB2312"/>
                <w:sz w:val="28"/>
                <w:b/>
              </w:rPr>
              <w:t>4.疑似问题图斑</w:t>
            </w:r>
            <w:r>
              <w:rPr>
                <w:rFonts w:ascii="仿宋_GB2312" w:hAnsi="仿宋_GB2312" w:cs="仿宋_GB2312" w:eastAsia="仿宋_GB2312"/>
                <w:sz w:val="28"/>
                <w:b/>
              </w:rPr>
              <w:t>反馈</w:t>
            </w:r>
          </w:p>
          <w:p>
            <w:pPr>
              <w:pStyle w:val="null5"/>
              <w:ind w:firstLine="560"/>
              <w:jc w:val="both"/>
            </w:pPr>
            <w:r>
              <w:rPr>
                <w:rFonts w:ascii="仿宋_GB2312" w:hAnsi="仿宋_GB2312" w:cs="仿宋_GB2312" w:eastAsia="仿宋_GB2312"/>
                <w:sz w:val="28"/>
              </w:rPr>
              <w:t>对上述分类情况通过系统提交举证材料；总结年度工作经验，提出改革措施和建议。</w:t>
            </w:r>
          </w:p>
          <w:p>
            <w:pPr>
              <w:pStyle w:val="null5"/>
              <w:jc w:val="both"/>
              <w:outlineLvl w:val="0"/>
            </w:pPr>
            <w:r>
              <w:rPr>
                <w:rFonts w:ascii="仿宋_GB2312" w:hAnsi="仿宋_GB2312" w:cs="仿宋_GB2312" w:eastAsia="仿宋_GB2312"/>
                <w:sz w:val="28"/>
                <w:b/>
              </w:rPr>
              <w:t>二、工作路线与方法</w:t>
            </w:r>
          </w:p>
          <w:p>
            <w:pPr>
              <w:pStyle w:val="null5"/>
              <w:jc w:val="both"/>
              <w:outlineLvl w:val="1"/>
            </w:pPr>
            <w:r>
              <w:rPr>
                <w:rFonts w:ascii="仿宋_GB2312" w:hAnsi="仿宋_GB2312" w:cs="仿宋_GB2312" w:eastAsia="仿宋_GB2312"/>
                <w:sz w:val="28"/>
                <w:b/>
              </w:rPr>
              <w:t>（一）技术路线</w:t>
            </w:r>
          </w:p>
          <w:p>
            <w:pPr>
              <w:pStyle w:val="null5"/>
              <w:ind w:firstLine="560"/>
              <w:jc w:val="both"/>
            </w:pPr>
            <w:r>
              <w:rPr>
                <w:rFonts w:ascii="仿宋_GB2312" w:hAnsi="仿宋_GB2312" w:cs="仿宋_GB2312" w:eastAsia="仿宋_GB2312"/>
                <w:sz w:val="28"/>
              </w:rPr>
              <w:t>根据呼和浩特市</w:t>
            </w:r>
            <w:r>
              <w:rPr>
                <w:rFonts w:ascii="仿宋_GB2312" w:hAnsi="仿宋_GB2312" w:cs="仿宋_GB2312" w:eastAsia="仿宋_GB2312"/>
                <w:sz w:val="28"/>
              </w:rPr>
              <w:t>2023年度国土变更调查成果，提取年度全市耕地流入流出变化图斑，并结合审批、卫片等数据</w:t>
            </w:r>
            <w:r>
              <w:rPr>
                <w:rFonts w:ascii="仿宋_GB2312" w:hAnsi="仿宋_GB2312" w:cs="仿宋_GB2312" w:eastAsia="仿宋_GB2312"/>
                <w:sz w:val="28"/>
              </w:rPr>
              <w:t>运用卫星遥感等现代信息技术，动态监测监管耕地（包括永久基本农田）变为林地、园地、草地等其他类型农用地及农业设施建设用地</w:t>
            </w:r>
            <w:r>
              <w:rPr>
                <w:rFonts w:ascii="仿宋_GB2312" w:hAnsi="仿宋_GB2312" w:cs="仿宋_GB2312" w:eastAsia="仿宋_GB2312"/>
                <w:sz w:val="28"/>
              </w:rPr>
              <w:t>和建设用地</w:t>
            </w:r>
            <w:r>
              <w:rPr>
                <w:rFonts w:ascii="仿宋_GB2312" w:hAnsi="仿宋_GB2312" w:cs="仿宋_GB2312" w:eastAsia="仿宋_GB2312"/>
                <w:sz w:val="28"/>
              </w:rPr>
              <w:t>等</w:t>
            </w:r>
            <w:r>
              <w:rPr>
                <w:rFonts w:ascii="仿宋_GB2312" w:hAnsi="仿宋_GB2312" w:cs="仿宋_GB2312" w:eastAsia="仿宋_GB2312"/>
                <w:sz w:val="28"/>
              </w:rPr>
              <w:t>“非耕地”</w:t>
            </w:r>
            <w:r>
              <w:rPr>
                <w:rFonts w:ascii="仿宋_GB2312" w:hAnsi="仿宋_GB2312" w:cs="仿宋_GB2312" w:eastAsia="仿宋_GB2312"/>
                <w:sz w:val="28"/>
              </w:rPr>
              <w:t>情况。</w:t>
            </w:r>
          </w:p>
          <w:p>
            <w:pPr>
              <w:pStyle w:val="null5"/>
              <w:jc w:val="both"/>
              <w:outlineLvl w:val="1"/>
            </w:pPr>
            <w:r>
              <w:rPr>
                <w:rFonts w:ascii="仿宋_GB2312" w:hAnsi="仿宋_GB2312" w:cs="仿宋_GB2312" w:eastAsia="仿宋_GB2312"/>
                <w:sz w:val="28"/>
                <w:b/>
              </w:rPr>
              <w:t>（二）技术方法</w:t>
            </w:r>
          </w:p>
          <w:p>
            <w:pPr>
              <w:pStyle w:val="null5"/>
              <w:ind w:firstLine="560"/>
              <w:jc w:val="both"/>
            </w:pPr>
            <w:r>
              <w:rPr>
                <w:rFonts w:ascii="仿宋_GB2312" w:hAnsi="仿宋_GB2312" w:cs="仿宋_GB2312" w:eastAsia="仿宋_GB2312"/>
                <w:sz w:val="28"/>
              </w:rPr>
              <w:t>耕地保护监测监管工作主要分八大步骤：影像判读、外业调查、图斑分类、数据审核、数据反馈、情况报告。</w:t>
            </w:r>
            <w:r>
              <w:rPr>
                <w:rFonts w:ascii="仿宋_GB2312" w:hAnsi="仿宋_GB2312" w:cs="仿宋_GB2312" w:eastAsia="仿宋_GB2312"/>
                <w:sz w:val="28"/>
              </w:rPr>
              <w:t>通过</w:t>
            </w:r>
            <w:r>
              <w:rPr>
                <w:rFonts w:ascii="仿宋_GB2312" w:hAnsi="仿宋_GB2312" w:cs="仿宋_GB2312" w:eastAsia="仿宋_GB2312"/>
                <w:sz w:val="28"/>
              </w:rPr>
              <w:t>“两下两上” 厘清耕地利用总量、变化类别、时空分布，对侵蚀耕地的行为进行整改纠正，实现耕地保护长效治理，守住耕地红线。</w:t>
            </w:r>
          </w:p>
          <w:p>
            <w:pPr>
              <w:pStyle w:val="null5"/>
              <w:ind w:firstLine="562"/>
              <w:jc w:val="both"/>
            </w:pPr>
            <w:r>
              <w:rPr>
                <w:rFonts w:ascii="仿宋_GB2312" w:hAnsi="仿宋_GB2312" w:cs="仿宋_GB2312" w:eastAsia="仿宋_GB2312"/>
                <w:sz w:val="28"/>
                <w:b/>
              </w:rPr>
              <w:t>（三）人员要求</w:t>
            </w:r>
          </w:p>
          <w:p>
            <w:pPr>
              <w:pStyle w:val="null5"/>
              <w:ind w:firstLine="560"/>
              <w:jc w:val="both"/>
            </w:pPr>
            <w:r>
              <w:rPr>
                <w:rFonts w:ascii="仿宋_GB2312" w:hAnsi="仿宋_GB2312" w:cs="仿宋_GB2312" w:eastAsia="仿宋_GB2312"/>
                <w:sz w:val="28"/>
              </w:rPr>
              <w:t>1、项目负责人要求：拟派项目负责人具备高级职称（含副高）或注册测绘师；</w:t>
            </w:r>
          </w:p>
          <w:p>
            <w:pPr>
              <w:pStyle w:val="null5"/>
              <w:ind w:firstLine="560"/>
              <w:jc w:val="both"/>
            </w:pPr>
            <w:r>
              <w:rPr>
                <w:rFonts w:ascii="仿宋_GB2312" w:hAnsi="仿宋_GB2312" w:cs="仿宋_GB2312" w:eastAsia="仿宋_GB2312"/>
                <w:sz w:val="28"/>
              </w:rPr>
              <w:t>2、团队人员：拟投入本项目的团队人员不少于10人，并具备初级或以上职称。</w:t>
            </w:r>
          </w:p>
          <w:p>
            <w:pPr>
              <w:pStyle w:val="null5"/>
              <w:ind w:firstLine="562"/>
              <w:jc w:val="both"/>
            </w:pPr>
            <w:r>
              <w:rPr>
                <w:rFonts w:ascii="仿宋_GB2312" w:hAnsi="仿宋_GB2312" w:cs="仿宋_GB2312" w:eastAsia="仿宋_GB2312"/>
                <w:sz w:val="28"/>
                <w:b/>
              </w:rPr>
              <w:t>（四）售后要求</w:t>
            </w:r>
          </w:p>
          <w:p>
            <w:pPr>
              <w:pStyle w:val="null5"/>
              <w:ind w:firstLine="562"/>
              <w:jc w:val="both"/>
            </w:pPr>
            <w:r>
              <w:rPr>
                <w:rFonts w:ascii="仿宋_GB2312" w:hAnsi="仿宋_GB2312" w:cs="仿宋_GB2312" w:eastAsia="仿宋_GB2312"/>
                <w:sz w:val="28"/>
              </w:rPr>
              <w:t>投标人针对政策调整应对、沟通协调机制、售后技术支撑、专业售后团队、其他增值服务等提供相应的售后服务方案。</w:t>
            </w:r>
          </w:p>
          <w:p>
            <w:pPr>
              <w:pStyle w:val="null5"/>
              <w:jc w:val="both"/>
              <w:outlineLvl w:val="0"/>
            </w:pPr>
            <w:r>
              <w:rPr>
                <w:rFonts w:ascii="仿宋_GB2312" w:hAnsi="仿宋_GB2312" w:cs="仿宋_GB2312" w:eastAsia="仿宋_GB2312"/>
                <w:sz w:val="28"/>
                <w:b/>
              </w:rPr>
              <w:t>三、考核指标和预期成果</w:t>
            </w:r>
          </w:p>
          <w:p>
            <w:pPr>
              <w:pStyle w:val="null5"/>
              <w:jc w:val="both"/>
              <w:outlineLvl w:val="1"/>
            </w:pPr>
            <w:r>
              <w:rPr>
                <w:rFonts w:ascii="仿宋_GB2312" w:hAnsi="仿宋_GB2312" w:cs="仿宋_GB2312" w:eastAsia="仿宋_GB2312"/>
                <w:sz w:val="28"/>
                <w:b/>
              </w:rPr>
              <w:t>（一）考核指标</w:t>
            </w:r>
          </w:p>
          <w:tbl>
            <w:tblPr>
              <w:tblBorders>
                <w:top w:val="none" w:color="000000" w:sz="4"/>
                <w:left w:val="none" w:color="000000" w:sz="4"/>
                <w:bottom w:val="none" w:color="000000" w:sz="4"/>
                <w:right w:val="none" w:color="000000" w:sz="4"/>
                <w:insideH w:val="none"/>
                <w:insideV w:val="none"/>
              </w:tblBorders>
            </w:tblPr>
            <w:tblGrid>
              <w:gridCol w:w="456"/>
              <w:gridCol w:w="305"/>
              <w:gridCol w:w="1470"/>
              <w:gridCol w:w="321"/>
            </w:tblGrid>
            <w:tr>
              <w:tc>
                <w:tcPr>
                  <w:tcW w:type="dxa" w:w="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b/>
                      <w:color w:val="000000"/>
                    </w:rPr>
                    <w:t>指标</w:t>
                  </w:r>
                </w:p>
              </w:tc>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b/>
                      <w:color w:val="000000"/>
                    </w:rPr>
                    <w:t>分值</w:t>
                  </w:r>
                </w:p>
              </w:tc>
              <w:tc>
                <w:tcPr>
                  <w:tcW w:type="dxa" w:w="1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b/>
                      <w:color w:val="000000"/>
                    </w:rPr>
                    <w:t>指标打分细则</w:t>
                  </w:r>
                </w:p>
              </w:tc>
              <w:tc>
                <w:tcPr>
                  <w:tcW w:type="dxa" w:w="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b/>
                      <w:color w:val="000000"/>
                    </w:rPr>
                    <w:t>得分</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color w:val="000000"/>
                    </w:rPr>
                    <w:t>数量指标</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color w:val="000000"/>
                    </w:rPr>
                    <w:t>50</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color w:val="000000"/>
                    </w:rPr>
                    <w:t>提取图斑监测监管无遗漏，</w:t>
                  </w:r>
                  <w:r>
                    <w:rPr>
                      <w:rFonts w:ascii="仿宋_GB2312" w:hAnsi="仿宋_GB2312" w:cs="仿宋_GB2312" w:eastAsia="仿宋_GB2312"/>
                      <w:sz w:val="28"/>
                      <w:color w:val="000000"/>
                    </w:rPr>
                    <w:t>100%进行监测监管得50分，每遗漏1%扣2分。</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56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color w:val="000000"/>
                    </w:rPr>
                    <w:t>质量指标</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color w:val="000000"/>
                    </w:rPr>
                    <w:t>50</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color w:val="000000"/>
                    </w:rPr>
                    <w:t>提取图斑分类判读，分类无误</w:t>
                  </w:r>
                  <w:r>
                    <w:rPr>
                      <w:rFonts w:ascii="仿宋_GB2312" w:hAnsi="仿宋_GB2312" w:cs="仿宋_GB2312" w:eastAsia="仿宋_GB2312"/>
                      <w:sz w:val="28"/>
                      <w:color w:val="000000"/>
                    </w:rPr>
                    <w:t>成果</w:t>
                  </w:r>
                  <w:r>
                    <w:rPr>
                      <w:rFonts w:ascii="仿宋_GB2312" w:hAnsi="仿宋_GB2312" w:cs="仿宋_GB2312" w:eastAsia="仿宋_GB2312"/>
                      <w:sz w:val="28"/>
                      <w:color w:val="000000"/>
                    </w:rPr>
                    <w:t>100%通过审核得50分，每有1%个图斑未通过扣2分。</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56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b/>
                      <w:color w:val="000000"/>
                    </w:rPr>
                    <w:t>总计</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b/>
                      <w:color w:val="000000"/>
                    </w:rPr>
                    <w:t>100</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562"/>
                    <w:jc w:val="center"/>
                  </w:pPr>
                  <w:r>
                    <w:rPr>
                      <w:rFonts w:ascii="仿宋_GB2312" w:hAnsi="仿宋_GB2312" w:cs="仿宋_GB2312" w:eastAsia="仿宋_GB2312"/>
                      <w:sz w:val="28"/>
                      <w:b/>
                      <w:color w:val="000000"/>
                    </w:rPr>
                    <w:t>——</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562"/>
                    <w:jc w:val="center"/>
                  </w:pPr>
                </w:p>
              </w:tc>
            </w:tr>
          </w:tbl>
          <w:p>
            <w:pPr>
              <w:pStyle w:val="null5"/>
              <w:jc w:val="both"/>
              <w:outlineLvl w:val="1"/>
            </w:pPr>
            <w:r>
              <w:rPr>
                <w:rFonts w:ascii="仿宋_GB2312" w:hAnsi="仿宋_GB2312" w:cs="仿宋_GB2312" w:eastAsia="仿宋_GB2312"/>
                <w:sz w:val="28"/>
                <w:b/>
              </w:rPr>
              <w:t>（二）预期成果</w:t>
            </w:r>
          </w:p>
          <w:p>
            <w:pPr>
              <w:pStyle w:val="null5"/>
              <w:ind w:firstLine="562"/>
              <w:jc w:val="both"/>
            </w:pPr>
            <w:r>
              <w:rPr>
                <w:rFonts w:ascii="仿宋_GB2312" w:hAnsi="仿宋_GB2312" w:cs="仿宋_GB2312" w:eastAsia="仿宋_GB2312"/>
                <w:sz w:val="28"/>
                <w:b/>
              </w:rPr>
              <w:t>1.文字成果：</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）呼和浩特市</w:t>
            </w:r>
            <w:r>
              <w:rPr>
                <w:rFonts w:ascii="仿宋_GB2312" w:hAnsi="仿宋_GB2312" w:cs="仿宋_GB2312" w:eastAsia="仿宋_GB2312"/>
                <w:sz w:val="28"/>
              </w:rPr>
              <w:t>2024年度</w:t>
            </w:r>
            <w:r>
              <w:rPr>
                <w:rFonts w:ascii="仿宋_GB2312" w:hAnsi="仿宋_GB2312" w:cs="仿宋_GB2312" w:eastAsia="仿宋_GB2312"/>
                <w:sz w:val="28"/>
              </w:rPr>
              <w:t>耕地保护监测监管</w:t>
            </w:r>
            <w:r>
              <w:rPr>
                <w:rFonts w:ascii="仿宋_GB2312" w:hAnsi="仿宋_GB2312" w:cs="仿宋_GB2312" w:eastAsia="仿宋_GB2312"/>
                <w:sz w:val="28"/>
              </w:rPr>
              <w:t>（第二作业区）</w:t>
            </w:r>
            <w:r>
              <w:rPr>
                <w:rFonts w:ascii="仿宋_GB2312" w:hAnsi="仿宋_GB2312" w:cs="仿宋_GB2312" w:eastAsia="仿宋_GB2312"/>
                <w:sz w:val="28"/>
              </w:rPr>
              <w:t>工作报告；</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）呼和浩特市</w:t>
            </w:r>
            <w:r>
              <w:rPr>
                <w:rFonts w:ascii="仿宋_GB2312" w:hAnsi="仿宋_GB2312" w:cs="仿宋_GB2312" w:eastAsia="仿宋_GB2312"/>
                <w:sz w:val="28"/>
              </w:rPr>
              <w:t>2024年度</w:t>
            </w:r>
            <w:r>
              <w:rPr>
                <w:rFonts w:ascii="仿宋_GB2312" w:hAnsi="仿宋_GB2312" w:cs="仿宋_GB2312" w:eastAsia="仿宋_GB2312"/>
                <w:sz w:val="28"/>
              </w:rPr>
              <w:t>耕地保护监测监管</w:t>
            </w:r>
            <w:r>
              <w:rPr>
                <w:rFonts w:ascii="仿宋_GB2312" w:hAnsi="仿宋_GB2312" w:cs="仿宋_GB2312" w:eastAsia="仿宋_GB2312"/>
                <w:sz w:val="28"/>
              </w:rPr>
              <w:t>（第二作业区）</w:t>
            </w:r>
            <w:r>
              <w:rPr>
                <w:rFonts w:ascii="仿宋_GB2312" w:hAnsi="仿宋_GB2312" w:cs="仿宋_GB2312" w:eastAsia="仿宋_GB2312"/>
                <w:sz w:val="28"/>
              </w:rPr>
              <w:t>技术报告</w:t>
            </w:r>
            <w:r>
              <w:rPr>
                <w:rFonts w:ascii="仿宋_GB2312" w:hAnsi="仿宋_GB2312" w:cs="仿宋_GB2312" w:eastAsia="仿宋_GB2312"/>
                <w:sz w:val="28"/>
              </w:rPr>
              <w:t>。</w:t>
            </w:r>
          </w:p>
          <w:p>
            <w:pPr>
              <w:pStyle w:val="null5"/>
              <w:ind w:firstLine="562"/>
              <w:jc w:val="both"/>
            </w:pPr>
            <w:r>
              <w:rPr>
                <w:rFonts w:ascii="仿宋_GB2312" w:hAnsi="仿宋_GB2312" w:cs="仿宋_GB2312" w:eastAsia="仿宋_GB2312"/>
                <w:sz w:val="28"/>
                <w:b/>
              </w:rPr>
              <w:t>成果格式和数量：电子版</w:t>
            </w:r>
            <w:r>
              <w:rPr>
                <w:rFonts w:ascii="仿宋_GB2312" w:hAnsi="仿宋_GB2312" w:cs="仿宋_GB2312" w:eastAsia="仿宋_GB2312"/>
                <w:sz w:val="28"/>
                <w:b/>
              </w:rPr>
              <w:t>5份、纸质版5份。</w:t>
            </w:r>
          </w:p>
          <w:p>
            <w:pPr>
              <w:pStyle w:val="null5"/>
              <w:ind w:firstLine="562"/>
              <w:jc w:val="both"/>
            </w:pPr>
            <w:r>
              <w:rPr>
                <w:rFonts w:ascii="仿宋_GB2312" w:hAnsi="仿宋_GB2312" w:cs="仿宋_GB2312" w:eastAsia="仿宋_GB2312"/>
                <w:sz w:val="28"/>
                <w:b/>
              </w:rPr>
              <w:t>2.数据库成果：</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1）原始图斑矢量数据；</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2）影像判读后矢量数据；</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3）外业巡查后矢量数据；</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4）图斑分类后矢量数据；</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5）审核通过后矢量数据。</w:t>
            </w:r>
          </w:p>
          <w:p>
            <w:pPr>
              <w:pStyle w:val="null5"/>
              <w:ind w:firstLine="562"/>
              <w:jc w:val="both"/>
            </w:pPr>
            <w:r>
              <w:rPr>
                <w:rFonts w:ascii="仿宋_GB2312" w:hAnsi="仿宋_GB2312" w:cs="仿宋_GB2312" w:eastAsia="仿宋_GB2312"/>
                <w:sz w:val="28"/>
                <w:b/>
              </w:rPr>
              <w:t>成果格式和数量：电子版</w:t>
            </w:r>
            <w:r>
              <w:rPr>
                <w:rFonts w:ascii="仿宋_GB2312" w:hAnsi="仿宋_GB2312" w:cs="仿宋_GB2312" w:eastAsia="仿宋_GB2312"/>
                <w:sz w:val="28"/>
                <w:b/>
              </w:rPr>
              <w:t>5份。</w:t>
            </w:r>
          </w:p>
          <w:p>
            <w:pPr>
              <w:pStyle w:val="null5"/>
              <w:ind w:firstLine="562"/>
              <w:jc w:val="both"/>
            </w:pPr>
            <w:r>
              <w:rPr>
                <w:rFonts w:ascii="仿宋_GB2312" w:hAnsi="仿宋_GB2312" w:cs="仿宋_GB2312" w:eastAsia="仿宋_GB2312"/>
                <w:sz w:val="28"/>
                <w:b/>
              </w:rPr>
              <w:t>3.资料汇编：</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1）外业调查表；</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2）外业调查图；</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3）分类举证材料</w:t>
            </w:r>
            <w:r>
              <w:rPr>
                <w:rFonts w:ascii="仿宋_GB2312" w:hAnsi="仿宋_GB2312" w:cs="仿宋_GB2312" w:eastAsia="仿宋_GB2312"/>
                <w:sz w:val="28"/>
              </w:rPr>
              <w:t>。</w:t>
            </w:r>
          </w:p>
          <w:p>
            <w:pPr>
              <w:pStyle w:val="null5"/>
              <w:ind w:firstLine="562"/>
              <w:jc w:val="both"/>
            </w:pPr>
            <w:r>
              <w:rPr>
                <w:rFonts w:ascii="仿宋_GB2312" w:hAnsi="仿宋_GB2312" w:cs="仿宋_GB2312" w:eastAsia="仿宋_GB2312"/>
                <w:sz w:val="28"/>
                <w:b/>
              </w:rPr>
              <w:t>成果格式和数量：电子版</w:t>
            </w:r>
            <w:r>
              <w:rPr>
                <w:rFonts w:ascii="仿宋_GB2312" w:hAnsi="仿宋_GB2312" w:cs="仿宋_GB2312" w:eastAsia="仿宋_GB2312"/>
                <w:sz w:val="28"/>
                <w:b/>
              </w:rPr>
              <w:t>5份、纸质版5份。</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标的名称：呼和浩特市耕地保护监测监管（第三作业区）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outlineLvl w:val="0"/>
            </w:pPr>
            <w:r>
              <w:rPr>
                <w:rFonts w:ascii="仿宋_GB2312" w:hAnsi="仿宋_GB2312" w:cs="仿宋_GB2312" w:eastAsia="仿宋_GB2312"/>
                <w:sz w:val="28"/>
                <w:b/>
              </w:rPr>
              <w:t>一、</w:t>
            </w:r>
            <w:r>
              <w:rPr>
                <w:rFonts w:ascii="仿宋_GB2312" w:hAnsi="仿宋_GB2312" w:cs="仿宋_GB2312" w:eastAsia="仿宋_GB2312"/>
                <w:sz w:val="28"/>
                <w:b/>
              </w:rPr>
              <w:t>工作目标与内容</w:t>
            </w:r>
          </w:p>
          <w:p>
            <w:pPr>
              <w:pStyle w:val="null5"/>
              <w:jc w:val="both"/>
              <w:outlineLvl w:val="1"/>
            </w:pPr>
            <w:r>
              <w:rPr>
                <w:rFonts w:ascii="仿宋_GB2312" w:hAnsi="仿宋_GB2312" w:cs="仿宋_GB2312" w:eastAsia="仿宋_GB2312"/>
                <w:sz w:val="28"/>
                <w:b/>
              </w:rPr>
              <w:t>（一）</w:t>
            </w:r>
            <w:r>
              <w:rPr>
                <w:rFonts w:ascii="仿宋_GB2312" w:hAnsi="仿宋_GB2312" w:cs="仿宋_GB2312" w:eastAsia="仿宋_GB2312"/>
                <w:sz w:val="28"/>
                <w:b/>
              </w:rPr>
              <w:t>任务背景</w:t>
            </w:r>
          </w:p>
          <w:p>
            <w:pPr>
              <w:pStyle w:val="null5"/>
              <w:ind w:firstLine="560"/>
              <w:jc w:val="left"/>
            </w:pPr>
            <w:r>
              <w:rPr>
                <w:rFonts w:ascii="仿宋_GB2312" w:hAnsi="仿宋_GB2312" w:cs="仿宋_GB2312" w:eastAsia="仿宋_GB2312"/>
                <w:sz w:val="28"/>
              </w:rPr>
              <w:t>2024年8月，</w:t>
            </w:r>
            <w:r>
              <w:rPr>
                <w:rFonts w:ascii="仿宋_GB2312" w:hAnsi="仿宋_GB2312" w:cs="仿宋_GB2312" w:eastAsia="仿宋_GB2312"/>
                <w:sz w:val="28"/>
              </w:rPr>
              <w:t>内蒙古自治区自然资源厅</w:t>
            </w:r>
            <w:r>
              <w:rPr>
                <w:rFonts w:ascii="仿宋_GB2312" w:hAnsi="仿宋_GB2312" w:cs="仿宋_GB2312" w:eastAsia="仿宋_GB2312"/>
                <w:sz w:val="28"/>
              </w:rPr>
              <w:t>和</w:t>
            </w:r>
            <w:r>
              <w:rPr>
                <w:rFonts w:ascii="仿宋_GB2312" w:hAnsi="仿宋_GB2312" w:cs="仿宋_GB2312" w:eastAsia="仿宋_GB2312"/>
                <w:sz w:val="28"/>
              </w:rPr>
              <w:t>财政厅</w:t>
            </w:r>
            <w:r>
              <w:rPr>
                <w:rFonts w:ascii="仿宋_GB2312" w:hAnsi="仿宋_GB2312" w:cs="仿宋_GB2312" w:eastAsia="仿宋_GB2312"/>
                <w:sz w:val="28"/>
              </w:rPr>
              <w:t>印发了《</w:t>
            </w:r>
            <w:r>
              <w:rPr>
                <w:rFonts w:ascii="仿宋_GB2312" w:hAnsi="仿宋_GB2312" w:cs="仿宋_GB2312" w:eastAsia="仿宋_GB2312"/>
                <w:sz w:val="28"/>
              </w:rPr>
              <w:t>关于申报自治区耕地保护考核奖励基金项目储备库入库的通知》（内自然资字〔</w:t>
            </w:r>
            <w:r>
              <w:rPr>
                <w:rFonts w:ascii="仿宋_GB2312" w:hAnsi="仿宋_GB2312" w:cs="仿宋_GB2312" w:eastAsia="仿宋_GB2312"/>
                <w:sz w:val="28"/>
              </w:rPr>
              <w:t>2024〕429号）</w:t>
            </w:r>
            <w:r>
              <w:rPr>
                <w:rFonts w:ascii="仿宋_GB2312" w:hAnsi="仿宋_GB2312" w:cs="仿宋_GB2312" w:eastAsia="仿宋_GB2312"/>
                <w:sz w:val="28"/>
              </w:rPr>
              <w:t>文件，呼和浩特市本级拟按照文件要求，申报《呼和浩特市耕地保护监测监管项目》，由市级统一开展疑似问题图斑的</w:t>
            </w:r>
            <w:r>
              <w:rPr>
                <w:rFonts w:ascii="仿宋_GB2312" w:hAnsi="仿宋_GB2312" w:cs="仿宋_GB2312" w:eastAsia="仿宋_GB2312"/>
                <w:sz w:val="28"/>
              </w:rPr>
              <w:t>影像判读、外业调查、图斑分类、数据审核、数据反馈、情况报告</w:t>
            </w:r>
            <w:r>
              <w:rPr>
                <w:rFonts w:ascii="仿宋_GB2312" w:hAnsi="仿宋_GB2312" w:cs="仿宋_GB2312" w:eastAsia="仿宋_GB2312"/>
                <w:sz w:val="28"/>
              </w:rPr>
              <w:t>等工作。</w:t>
            </w:r>
          </w:p>
          <w:p>
            <w:pPr>
              <w:pStyle w:val="null5"/>
              <w:jc w:val="both"/>
              <w:outlineLvl w:val="1"/>
            </w:pPr>
            <w:r>
              <w:rPr>
                <w:rFonts w:ascii="仿宋_GB2312" w:hAnsi="仿宋_GB2312" w:cs="仿宋_GB2312" w:eastAsia="仿宋_GB2312"/>
                <w:sz w:val="28"/>
                <w:b/>
              </w:rPr>
              <w:t>（二）工作目标及意义</w:t>
            </w:r>
          </w:p>
          <w:p>
            <w:pPr>
              <w:pStyle w:val="null5"/>
              <w:ind w:firstLine="562"/>
              <w:jc w:val="both"/>
            </w:pPr>
            <w:r>
              <w:rPr>
                <w:rFonts w:ascii="仿宋_GB2312" w:hAnsi="仿宋_GB2312" w:cs="仿宋_GB2312" w:eastAsia="仿宋_GB2312"/>
                <w:sz w:val="28"/>
                <w:b/>
              </w:rPr>
              <w:t>1.工作目标</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1）监督全市耕地和永久基本农田保护与利用情况。</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2）进一步遏制耕地“非农化”与“非粮化”行为</w:t>
            </w:r>
            <w:r>
              <w:rPr>
                <w:rFonts w:ascii="仿宋_GB2312" w:hAnsi="仿宋_GB2312" w:cs="仿宋_GB2312" w:eastAsia="仿宋_GB2312"/>
                <w:sz w:val="28"/>
              </w:rPr>
              <w:t>。</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强化监测监管成果应用</w:t>
            </w:r>
            <w:r>
              <w:rPr>
                <w:rFonts w:ascii="仿宋_GB2312" w:hAnsi="仿宋_GB2312" w:cs="仿宋_GB2312" w:eastAsia="仿宋_GB2312"/>
                <w:sz w:val="28"/>
              </w:rPr>
              <w:t>。</w:t>
            </w:r>
          </w:p>
          <w:p>
            <w:pPr>
              <w:pStyle w:val="null5"/>
              <w:ind w:firstLine="562"/>
              <w:jc w:val="both"/>
            </w:pPr>
            <w:r>
              <w:rPr>
                <w:rFonts w:ascii="仿宋_GB2312" w:hAnsi="仿宋_GB2312" w:cs="仿宋_GB2312" w:eastAsia="仿宋_GB2312"/>
                <w:sz w:val="28"/>
                <w:b/>
              </w:rPr>
              <w:t>2.工作意义</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1）对违法违规占用耕地问题早发现、早制止</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2）保障耕地是粮食生产的重要基础</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3）为地方开展耕地保护实施奖惩提供依据</w:t>
            </w:r>
          </w:p>
          <w:p>
            <w:pPr>
              <w:pStyle w:val="null5"/>
              <w:jc w:val="both"/>
              <w:outlineLvl w:val="1"/>
            </w:pPr>
            <w:r>
              <w:rPr>
                <w:rFonts w:ascii="仿宋_GB2312" w:hAnsi="仿宋_GB2312" w:cs="仿宋_GB2312" w:eastAsia="仿宋_GB2312"/>
                <w:sz w:val="28"/>
                <w:b/>
              </w:rPr>
              <w:t>（三）主要工作内容</w:t>
            </w:r>
          </w:p>
          <w:p>
            <w:pPr>
              <w:pStyle w:val="null5"/>
              <w:ind w:firstLine="562"/>
              <w:jc w:val="both"/>
            </w:pPr>
            <w:r>
              <w:rPr>
                <w:rFonts w:ascii="仿宋_GB2312" w:hAnsi="仿宋_GB2312" w:cs="仿宋_GB2312" w:eastAsia="仿宋_GB2312"/>
                <w:sz w:val="28"/>
                <w:b/>
              </w:rPr>
              <w:t>1.疑似问题图斑的影像判读</w:t>
            </w:r>
          </w:p>
          <w:p>
            <w:pPr>
              <w:pStyle w:val="null5"/>
              <w:ind w:firstLine="560"/>
              <w:jc w:val="both"/>
            </w:pPr>
            <w:r>
              <w:rPr>
                <w:rFonts w:ascii="仿宋_GB2312" w:hAnsi="仿宋_GB2312" w:cs="仿宋_GB2312" w:eastAsia="仿宋_GB2312"/>
                <w:sz w:val="28"/>
              </w:rPr>
              <w:t>根据自治区下发图斑和呼和浩特市</w:t>
            </w:r>
            <w:r>
              <w:rPr>
                <w:rFonts w:ascii="仿宋_GB2312" w:hAnsi="仿宋_GB2312" w:cs="仿宋_GB2312" w:eastAsia="仿宋_GB2312"/>
                <w:sz w:val="28"/>
              </w:rPr>
              <w:t>2023年度国土变更调查成果，提取年度全市耕地流入流出变化图斑，并结合审批、卫片等数据</w:t>
            </w:r>
            <w:r>
              <w:rPr>
                <w:rFonts w:ascii="仿宋_GB2312" w:hAnsi="仿宋_GB2312" w:cs="仿宋_GB2312" w:eastAsia="仿宋_GB2312"/>
                <w:sz w:val="28"/>
              </w:rPr>
              <w:t>开展年度</w:t>
            </w:r>
            <w:r>
              <w:rPr>
                <w:rFonts w:ascii="仿宋_GB2312" w:hAnsi="仿宋_GB2312" w:cs="仿宋_GB2312" w:eastAsia="仿宋_GB2312"/>
                <w:sz w:val="28"/>
              </w:rPr>
              <w:t>核查</w:t>
            </w:r>
            <w:r>
              <w:rPr>
                <w:rFonts w:ascii="仿宋_GB2312" w:hAnsi="仿宋_GB2312" w:cs="仿宋_GB2312" w:eastAsia="仿宋_GB2312"/>
                <w:sz w:val="28"/>
              </w:rPr>
              <w:t>影像判读，主要工作内容：</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1）根据</w:t>
            </w:r>
            <w:r>
              <w:rPr>
                <w:rFonts w:ascii="仿宋_GB2312" w:hAnsi="仿宋_GB2312" w:cs="仿宋_GB2312" w:eastAsia="仿宋_GB2312"/>
                <w:sz w:val="28"/>
              </w:rPr>
              <w:t>玉泉区、托克托县、土默特左旗</w:t>
            </w:r>
            <w:r>
              <w:rPr>
                <w:rFonts w:ascii="仿宋_GB2312" w:hAnsi="仿宋_GB2312" w:cs="仿宋_GB2312" w:eastAsia="仿宋_GB2312"/>
                <w:sz w:val="28"/>
              </w:rPr>
              <w:t>图斑数量，</w:t>
            </w:r>
            <w:r>
              <w:rPr>
                <w:rFonts w:ascii="仿宋_GB2312" w:hAnsi="仿宋_GB2312" w:cs="仿宋_GB2312" w:eastAsia="仿宋_GB2312"/>
                <w:sz w:val="28"/>
              </w:rPr>
              <w:t>开展</w:t>
            </w:r>
            <w:r>
              <w:rPr>
                <w:rFonts w:ascii="仿宋_GB2312" w:hAnsi="仿宋_GB2312" w:cs="仿宋_GB2312" w:eastAsia="仿宋_GB2312"/>
                <w:sz w:val="28"/>
              </w:rPr>
              <w:t>内业判读业务，制作工作计划，确定业务分工；</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在图斑矢量数据的基础上，添加判读信息的字段，包括用地性质、面积、坐标、所在行政区、权属性质等；</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3）结合我市最新影像图，根据《国土空间调查、规划、用途管制用地用海分类指南》，判读图斑的用地性质，细分至二级类，有条件的图斑可细分至三级类；</w:t>
            </w:r>
          </w:p>
          <w:p>
            <w:pPr>
              <w:pStyle w:val="null5"/>
              <w:ind w:firstLine="562"/>
              <w:jc w:val="both"/>
            </w:pPr>
            <w:r>
              <w:rPr>
                <w:rFonts w:ascii="仿宋_GB2312" w:hAnsi="仿宋_GB2312" w:cs="仿宋_GB2312" w:eastAsia="仿宋_GB2312"/>
                <w:sz w:val="28"/>
                <w:b/>
              </w:rPr>
              <w:t>2.疑似问题图斑的外业巡查</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1）根据图斑数量和分布状况，委托和组建外业巡查业务组，制作工作计划和外业巡查方案，确定外业分工、车辆、路线；</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2）将影像判读后的图斑通过《国土调查云平台》下发至各外业组人员外业设备中，各外业人员进行现场拍照举证，并咨询图斑使用人基本情况，收集图斑用地批准文件等资料；</w:t>
            </w:r>
          </w:p>
          <w:p>
            <w:pPr>
              <w:pStyle w:val="null5"/>
              <w:ind w:firstLine="562"/>
              <w:jc w:val="both"/>
            </w:pPr>
            <w:r>
              <w:rPr>
                <w:rFonts w:ascii="仿宋_GB2312" w:hAnsi="仿宋_GB2312" w:cs="仿宋_GB2312" w:eastAsia="仿宋_GB2312"/>
                <w:sz w:val="28"/>
                <w:b/>
              </w:rPr>
              <w:t>3.疑似问题图斑的问题研判</w:t>
            </w:r>
          </w:p>
          <w:p>
            <w:pPr>
              <w:pStyle w:val="null5"/>
              <w:ind w:firstLine="560"/>
              <w:jc w:val="both"/>
            </w:pPr>
            <w:r>
              <w:rPr>
                <w:rFonts w:ascii="仿宋_GB2312" w:hAnsi="仿宋_GB2312" w:cs="仿宋_GB2312" w:eastAsia="仿宋_GB2312"/>
                <w:sz w:val="28"/>
              </w:rPr>
              <w:t>根据《耕地卫片监督方案（试行）》和《土地卫片执法图斑合法性判定规则》，结合影像判读和外业巡查的结果，对图斑情况进行分类：合法新增建设用地，非农化违法违规用地，非粮化违法违规用地，其他用地等</w:t>
            </w:r>
          </w:p>
          <w:p>
            <w:pPr>
              <w:pStyle w:val="null5"/>
              <w:ind w:firstLine="562"/>
              <w:jc w:val="both"/>
            </w:pPr>
            <w:r>
              <w:rPr>
                <w:rFonts w:ascii="仿宋_GB2312" w:hAnsi="仿宋_GB2312" w:cs="仿宋_GB2312" w:eastAsia="仿宋_GB2312"/>
                <w:sz w:val="28"/>
                <w:b/>
              </w:rPr>
              <w:t>4.疑似问题图斑</w:t>
            </w:r>
            <w:r>
              <w:rPr>
                <w:rFonts w:ascii="仿宋_GB2312" w:hAnsi="仿宋_GB2312" w:cs="仿宋_GB2312" w:eastAsia="仿宋_GB2312"/>
                <w:sz w:val="28"/>
                <w:b/>
              </w:rPr>
              <w:t>反馈</w:t>
            </w:r>
          </w:p>
          <w:p>
            <w:pPr>
              <w:pStyle w:val="null5"/>
              <w:ind w:firstLine="560"/>
              <w:jc w:val="both"/>
            </w:pPr>
            <w:r>
              <w:rPr>
                <w:rFonts w:ascii="仿宋_GB2312" w:hAnsi="仿宋_GB2312" w:cs="仿宋_GB2312" w:eastAsia="仿宋_GB2312"/>
                <w:sz w:val="28"/>
              </w:rPr>
              <w:t>对上述分类情况通过系统提交举证材料；总结年度工作经验，提出改革措施和建议。</w:t>
            </w:r>
          </w:p>
          <w:p>
            <w:pPr>
              <w:pStyle w:val="null5"/>
              <w:jc w:val="both"/>
              <w:outlineLvl w:val="0"/>
            </w:pPr>
            <w:r>
              <w:rPr>
                <w:rFonts w:ascii="仿宋_GB2312" w:hAnsi="仿宋_GB2312" w:cs="仿宋_GB2312" w:eastAsia="仿宋_GB2312"/>
                <w:sz w:val="28"/>
                <w:b/>
              </w:rPr>
              <w:t>二、工作路线与方法</w:t>
            </w:r>
          </w:p>
          <w:p>
            <w:pPr>
              <w:pStyle w:val="null5"/>
              <w:jc w:val="both"/>
              <w:outlineLvl w:val="1"/>
            </w:pPr>
            <w:r>
              <w:rPr>
                <w:rFonts w:ascii="仿宋_GB2312" w:hAnsi="仿宋_GB2312" w:cs="仿宋_GB2312" w:eastAsia="仿宋_GB2312"/>
                <w:sz w:val="28"/>
                <w:b/>
              </w:rPr>
              <w:t>（一）技术路线</w:t>
            </w:r>
          </w:p>
          <w:p>
            <w:pPr>
              <w:pStyle w:val="null5"/>
              <w:ind w:firstLine="560"/>
              <w:jc w:val="both"/>
            </w:pPr>
            <w:r>
              <w:rPr>
                <w:rFonts w:ascii="仿宋_GB2312" w:hAnsi="仿宋_GB2312" w:cs="仿宋_GB2312" w:eastAsia="仿宋_GB2312"/>
                <w:sz w:val="28"/>
              </w:rPr>
              <w:t>根据呼和浩特市</w:t>
            </w:r>
            <w:r>
              <w:rPr>
                <w:rFonts w:ascii="仿宋_GB2312" w:hAnsi="仿宋_GB2312" w:cs="仿宋_GB2312" w:eastAsia="仿宋_GB2312"/>
                <w:sz w:val="28"/>
              </w:rPr>
              <w:t>2023年度国土变更调查成果，提取年度全市耕地流入流出变化图斑，并结合审批、卫片等数据</w:t>
            </w:r>
            <w:r>
              <w:rPr>
                <w:rFonts w:ascii="仿宋_GB2312" w:hAnsi="仿宋_GB2312" w:cs="仿宋_GB2312" w:eastAsia="仿宋_GB2312"/>
                <w:sz w:val="28"/>
              </w:rPr>
              <w:t>运用卫星遥感等现代信息技术，动态监测监管耕地（包括永久基本农田）变为林地、园地、草地等其他类型农用地及农业设施建设用地</w:t>
            </w:r>
            <w:r>
              <w:rPr>
                <w:rFonts w:ascii="仿宋_GB2312" w:hAnsi="仿宋_GB2312" w:cs="仿宋_GB2312" w:eastAsia="仿宋_GB2312"/>
                <w:sz w:val="28"/>
              </w:rPr>
              <w:t>和建设用地</w:t>
            </w:r>
            <w:r>
              <w:rPr>
                <w:rFonts w:ascii="仿宋_GB2312" w:hAnsi="仿宋_GB2312" w:cs="仿宋_GB2312" w:eastAsia="仿宋_GB2312"/>
                <w:sz w:val="28"/>
              </w:rPr>
              <w:t>等</w:t>
            </w:r>
            <w:r>
              <w:rPr>
                <w:rFonts w:ascii="仿宋_GB2312" w:hAnsi="仿宋_GB2312" w:cs="仿宋_GB2312" w:eastAsia="仿宋_GB2312"/>
                <w:sz w:val="28"/>
              </w:rPr>
              <w:t>“非耕地”</w:t>
            </w:r>
            <w:r>
              <w:rPr>
                <w:rFonts w:ascii="仿宋_GB2312" w:hAnsi="仿宋_GB2312" w:cs="仿宋_GB2312" w:eastAsia="仿宋_GB2312"/>
                <w:sz w:val="28"/>
              </w:rPr>
              <w:t>情况。</w:t>
            </w:r>
          </w:p>
          <w:p>
            <w:pPr>
              <w:pStyle w:val="null5"/>
              <w:jc w:val="both"/>
              <w:outlineLvl w:val="1"/>
            </w:pPr>
            <w:r>
              <w:rPr>
                <w:rFonts w:ascii="仿宋_GB2312" w:hAnsi="仿宋_GB2312" w:cs="仿宋_GB2312" w:eastAsia="仿宋_GB2312"/>
                <w:sz w:val="28"/>
                <w:b/>
              </w:rPr>
              <w:t>（二）技术方法</w:t>
            </w:r>
          </w:p>
          <w:p>
            <w:pPr>
              <w:pStyle w:val="null5"/>
              <w:ind w:firstLine="560"/>
              <w:jc w:val="both"/>
            </w:pPr>
            <w:r>
              <w:rPr>
                <w:rFonts w:ascii="仿宋_GB2312" w:hAnsi="仿宋_GB2312" w:cs="仿宋_GB2312" w:eastAsia="仿宋_GB2312"/>
                <w:sz w:val="28"/>
              </w:rPr>
              <w:t>耕地保护监测监管工作主要分八大步骤：影像判读、外业调查、图斑分类、数据审核、数据反馈、情况报告。</w:t>
            </w:r>
            <w:r>
              <w:rPr>
                <w:rFonts w:ascii="仿宋_GB2312" w:hAnsi="仿宋_GB2312" w:cs="仿宋_GB2312" w:eastAsia="仿宋_GB2312"/>
                <w:sz w:val="28"/>
              </w:rPr>
              <w:t>通过</w:t>
            </w:r>
            <w:r>
              <w:rPr>
                <w:rFonts w:ascii="仿宋_GB2312" w:hAnsi="仿宋_GB2312" w:cs="仿宋_GB2312" w:eastAsia="仿宋_GB2312"/>
                <w:sz w:val="28"/>
              </w:rPr>
              <w:t>“两下两上” 厘清耕地利用总量、变化类别、时空分布，对侵蚀耕地的行为进行整改纠正，实现耕地保护长效治理，守住耕地红线。</w:t>
            </w:r>
          </w:p>
          <w:p>
            <w:pPr>
              <w:pStyle w:val="null5"/>
              <w:ind w:firstLine="562"/>
              <w:jc w:val="both"/>
            </w:pPr>
            <w:r>
              <w:rPr>
                <w:rFonts w:ascii="仿宋_GB2312" w:hAnsi="仿宋_GB2312" w:cs="仿宋_GB2312" w:eastAsia="仿宋_GB2312"/>
                <w:sz w:val="28"/>
                <w:b/>
              </w:rPr>
              <w:t>（三）人员要求</w:t>
            </w:r>
          </w:p>
          <w:p>
            <w:pPr>
              <w:pStyle w:val="null5"/>
              <w:ind w:firstLine="560"/>
              <w:jc w:val="both"/>
            </w:pPr>
            <w:r>
              <w:rPr>
                <w:rFonts w:ascii="仿宋_GB2312" w:hAnsi="仿宋_GB2312" w:cs="仿宋_GB2312" w:eastAsia="仿宋_GB2312"/>
                <w:sz w:val="28"/>
              </w:rPr>
              <w:t>1、项目负责人要求：拟派项目负责人具备高级职称（含副高）或注册测绘师；</w:t>
            </w:r>
          </w:p>
          <w:p>
            <w:pPr>
              <w:pStyle w:val="null5"/>
              <w:ind w:firstLine="560"/>
              <w:jc w:val="both"/>
            </w:pPr>
            <w:r>
              <w:rPr>
                <w:rFonts w:ascii="仿宋_GB2312" w:hAnsi="仿宋_GB2312" w:cs="仿宋_GB2312" w:eastAsia="仿宋_GB2312"/>
                <w:sz w:val="28"/>
              </w:rPr>
              <w:t>2、团队人员：拟投入本项目的团队人员不少于10人，并具备初级或以上职称。</w:t>
            </w:r>
          </w:p>
          <w:p>
            <w:pPr>
              <w:pStyle w:val="null5"/>
              <w:ind w:firstLine="562"/>
              <w:jc w:val="both"/>
            </w:pPr>
            <w:r>
              <w:rPr>
                <w:rFonts w:ascii="仿宋_GB2312" w:hAnsi="仿宋_GB2312" w:cs="仿宋_GB2312" w:eastAsia="仿宋_GB2312"/>
                <w:sz w:val="28"/>
                <w:b/>
              </w:rPr>
              <w:t>（四）售后要求</w:t>
            </w:r>
          </w:p>
          <w:p>
            <w:pPr>
              <w:pStyle w:val="null5"/>
              <w:ind w:firstLine="562"/>
              <w:jc w:val="both"/>
            </w:pPr>
            <w:r>
              <w:rPr>
                <w:rFonts w:ascii="仿宋_GB2312" w:hAnsi="仿宋_GB2312" w:cs="仿宋_GB2312" w:eastAsia="仿宋_GB2312"/>
                <w:sz w:val="28"/>
              </w:rPr>
              <w:t>投标人针对政策调整应对、沟通协调机制、售后技术支撑、专业售后团队、其他增值服务等提供相应的售后服务方案。</w:t>
            </w:r>
          </w:p>
          <w:p>
            <w:pPr>
              <w:pStyle w:val="null5"/>
              <w:jc w:val="both"/>
              <w:outlineLvl w:val="0"/>
            </w:pPr>
            <w:r>
              <w:rPr>
                <w:rFonts w:ascii="仿宋_GB2312" w:hAnsi="仿宋_GB2312" w:cs="仿宋_GB2312" w:eastAsia="仿宋_GB2312"/>
                <w:sz w:val="28"/>
                <w:b/>
              </w:rPr>
              <w:t>三</w:t>
            </w:r>
            <w:r>
              <w:rPr>
                <w:rFonts w:ascii="仿宋_GB2312" w:hAnsi="仿宋_GB2312" w:cs="仿宋_GB2312" w:eastAsia="仿宋_GB2312"/>
                <w:sz w:val="28"/>
                <w:b/>
              </w:rPr>
              <w:t>、考核指标和预期成果</w:t>
            </w:r>
          </w:p>
          <w:p>
            <w:pPr>
              <w:pStyle w:val="null5"/>
              <w:jc w:val="both"/>
              <w:outlineLvl w:val="1"/>
            </w:pPr>
            <w:r>
              <w:rPr>
                <w:rFonts w:ascii="仿宋_GB2312" w:hAnsi="仿宋_GB2312" w:cs="仿宋_GB2312" w:eastAsia="仿宋_GB2312"/>
                <w:sz w:val="28"/>
                <w:b/>
              </w:rPr>
              <w:t>（一）考核指标</w:t>
            </w:r>
          </w:p>
          <w:tbl>
            <w:tblPr>
              <w:tblBorders>
                <w:top w:val="none" w:color="000000" w:sz="4"/>
                <w:left w:val="none" w:color="000000" w:sz="4"/>
                <w:bottom w:val="none" w:color="000000" w:sz="4"/>
                <w:right w:val="none" w:color="000000" w:sz="4"/>
                <w:insideH w:val="none"/>
                <w:insideV w:val="none"/>
              </w:tblBorders>
            </w:tblPr>
            <w:tblGrid>
              <w:gridCol w:w="456"/>
              <w:gridCol w:w="305"/>
              <w:gridCol w:w="1470"/>
              <w:gridCol w:w="321"/>
            </w:tblGrid>
            <w:tr>
              <w:tc>
                <w:tcPr>
                  <w:tcW w:type="dxa" w:w="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b/>
                      <w:color w:val="000000"/>
                    </w:rPr>
                    <w:t>指标</w:t>
                  </w:r>
                </w:p>
              </w:tc>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b/>
                      <w:color w:val="000000"/>
                    </w:rPr>
                    <w:t>分值</w:t>
                  </w:r>
                </w:p>
              </w:tc>
              <w:tc>
                <w:tcPr>
                  <w:tcW w:type="dxa" w:w="1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b/>
                      <w:color w:val="000000"/>
                    </w:rPr>
                    <w:t>指标打分细则</w:t>
                  </w:r>
                </w:p>
              </w:tc>
              <w:tc>
                <w:tcPr>
                  <w:tcW w:type="dxa" w:w="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b/>
                      <w:color w:val="000000"/>
                    </w:rPr>
                    <w:t>得分</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color w:val="000000"/>
                    </w:rPr>
                    <w:t>数量指标</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color w:val="000000"/>
                    </w:rPr>
                    <w:t>50</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color w:val="000000"/>
                    </w:rPr>
                    <w:t>提取图斑监测监管无遗漏，</w:t>
                  </w:r>
                  <w:r>
                    <w:rPr>
                      <w:rFonts w:ascii="仿宋_GB2312" w:hAnsi="仿宋_GB2312" w:cs="仿宋_GB2312" w:eastAsia="仿宋_GB2312"/>
                      <w:sz w:val="28"/>
                      <w:color w:val="000000"/>
                    </w:rPr>
                    <w:t>100%进行监测监管得50分，每遗漏1%扣2分。</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56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color w:val="000000"/>
                    </w:rPr>
                    <w:t>质量指标</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color w:val="000000"/>
                    </w:rPr>
                    <w:t>50</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color w:val="000000"/>
                    </w:rPr>
                    <w:t>提取图斑分类判读，分类无误</w:t>
                  </w:r>
                  <w:r>
                    <w:rPr>
                      <w:rFonts w:ascii="仿宋_GB2312" w:hAnsi="仿宋_GB2312" w:cs="仿宋_GB2312" w:eastAsia="仿宋_GB2312"/>
                      <w:sz w:val="28"/>
                      <w:color w:val="000000"/>
                    </w:rPr>
                    <w:t>成果</w:t>
                  </w:r>
                  <w:r>
                    <w:rPr>
                      <w:rFonts w:ascii="仿宋_GB2312" w:hAnsi="仿宋_GB2312" w:cs="仿宋_GB2312" w:eastAsia="仿宋_GB2312"/>
                      <w:sz w:val="28"/>
                      <w:color w:val="000000"/>
                    </w:rPr>
                    <w:t>100%通过审核得50分，每有1%个图斑未通过扣2分。</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560"/>
                    <w:jc w:val="center"/>
                  </w:pP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b/>
                      <w:color w:val="000000"/>
                    </w:rPr>
                    <w:t>总计</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b/>
                      <w:color w:val="000000"/>
                    </w:rPr>
                    <w:t>100</w:t>
                  </w:r>
                </w:p>
              </w:tc>
              <w:tc>
                <w:tcPr>
                  <w:tcW w:type="dxa" w:w="1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562"/>
                    <w:jc w:val="center"/>
                  </w:pPr>
                  <w:r>
                    <w:rPr>
                      <w:rFonts w:ascii="仿宋_GB2312" w:hAnsi="仿宋_GB2312" w:cs="仿宋_GB2312" w:eastAsia="仿宋_GB2312"/>
                      <w:sz w:val="28"/>
                      <w:b/>
                      <w:color w:val="000000"/>
                    </w:rPr>
                    <w:t>——</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562"/>
                    <w:jc w:val="center"/>
                  </w:pPr>
                </w:p>
              </w:tc>
            </w:tr>
          </w:tbl>
          <w:p>
            <w:pPr>
              <w:pStyle w:val="null5"/>
              <w:jc w:val="both"/>
              <w:outlineLvl w:val="1"/>
            </w:pPr>
            <w:r>
              <w:rPr>
                <w:rFonts w:ascii="仿宋_GB2312" w:hAnsi="仿宋_GB2312" w:cs="仿宋_GB2312" w:eastAsia="仿宋_GB2312"/>
                <w:sz w:val="28"/>
                <w:b/>
              </w:rPr>
              <w:t>（二）预期成果</w:t>
            </w:r>
          </w:p>
          <w:p>
            <w:pPr>
              <w:pStyle w:val="null5"/>
              <w:ind w:firstLine="562"/>
              <w:jc w:val="both"/>
            </w:pPr>
            <w:r>
              <w:rPr>
                <w:rFonts w:ascii="仿宋_GB2312" w:hAnsi="仿宋_GB2312" w:cs="仿宋_GB2312" w:eastAsia="仿宋_GB2312"/>
                <w:sz w:val="28"/>
                <w:b/>
              </w:rPr>
              <w:t>1.文字成果：</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）呼和浩特市</w:t>
            </w:r>
            <w:r>
              <w:rPr>
                <w:rFonts w:ascii="仿宋_GB2312" w:hAnsi="仿宋_GB2312" w:cs="仿宋_GB2312" w:eastAsia="仿宋_GB2312"/>
                <w:sz w:val="28"/>
              </w:rPr>
              <w:t>2024年度</w:t>
            </w:r>
            <w:r>
              <w:rPr>
                <w:rFonts w:ascii="仿宋_GB2312" w:hAnsi="仿宋_GB2312" w:cs="仿宋_GB2312" w:eastAsia="仿宋_GB2312"/>
                <w:sz w:val="28"/>
              </w:rPr>
              <w:t>耕地保护监测监管</w:t>
            </w:r>
            <w:r>
              <w:rPr>
                <w:rFonts w:ascii="仿宋_GB2312" w:hAnsi="仿宋_GB2312" w:cs="仿宋_GB2312" w:eastAsia="仿宋_GB2312"/>
                <w:sz w:val="28"/>
              </w:rPr>
              <w:t>（第三工作区）</w:t>
            </w:r>
            <w:r>
              <w:rPr>
                <w:rFonts w:ascii="仿宋_GB2312" w:hAnsi="仿宋_GB2312" w:cs="仿宋_GB2312" w:eastAsia="仿宋_GB2312"/>
                <w:sz w:val="28"/>
              </w:rPr>
              <w:t>工作报告；</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）呼和浩特市</w:t>
            </w:r>
            <w:r>
              <w:rPr>
                <w:rFonts w:ascii="仿宋_GB2312" w:hAnsi="仿宋_GB2312" w:cs="仿宋_GB2312" w:eastAsia="仿宋_GB2312"/>
                <w:sz w:val="28"/>
              </w:rPr>
              <w:t>2024年度</w:t>
            </w:r>
            <w:r>
              <w:rPr>
                <w:rFonts w:ascii="仿宋_GB2312" w:hAnsi="仿宋_GB2312" w:cs="仿宋_GB2312" w:eastAsia="仿宋_GB2312"/>
                <w:sz w:val="28"/>
              </w:rPr>
              <w:t>耕地保护监测监管</w:t>
            </w:r>
            <w:r>
              <w:rPr>
                <w:rFonts w:ascii="仿宋_GB2312" w:hAnsi="仿宋_GB2312" w:cs="仿宋_GB2312" w:eastAsia="仿宋_GB2312"/>
                <w:sz w:val="28"/>
              </w:rPr>
              <w:t>（第三工作区）</w:t>
            </w:r>
            <w:r>
              <w:rPr>
                <w:rFonts w:ascii="仿宋_GB2312" w:hAnsi="仿宋_GB2312" w:cs="仿宋_GB2312" w:eastAsia="仿宋_GB2312"/>
                <w:sz w:val="28"/>
              </w:rPr>
              <w:t>技术报告</w:t>
            </w:r>
            <w:r>
              <w:rPr>
                <w:rFonts w:ascii="仿宋_GB2312" w:hAnsi="仿宋_GB2312" w:cs="仿宋_GB2312" w:eastAsia="仿宋_GB2312"/>
                <w:sz w:val="28"/>
              </w:rPr>
              <w:t>。</w:t>
            </w:r>
          </w:p>
          <w:p>
            <w:pPr>
              <w:pStyle w:val="null5"/>
              <w:ind w:firstLine="562"/>
              <w:jc w:val="both"/>
            </w:pPr>
            <w:r>
              <w:rPr>
                <w:rFonts w:ascii="仿宋_GB2312" w:hAnsi="仿宋_GB2312" w:cs="仿宋_GB2312" w:eastAsia="仿宋_GB2312"/>
                <w:sz w:val="28"/>
                <w:b/>
              </w:rPr>
              <w:t>成果格式和数量：电子版</w:t>
            </w:r>
            <w:r>
              <w:rPr>
                <w:rFonts w:ascii="仿宋_GB2312" w:hAnsi="仿宋_GB2312" w:cs="仿宋_GB2312" w:eastAsia="仿宋_GB2312"/>
                <w:sz w:val="28"/>
                <w:b/>
              </w:rPr>
              <w:t>5份、纸质版5份。</w:t>
            </w:r>
          </w:p>
          <w:p>
            <w:pPr>
              <w:pStyle w:val="null5"/>
              <w:ind w:firstLine="562"/>
              <w:jc w:val="both"/>
            </w:pPr>
            <w:r>
              <w:rPr>
                <w:rFonts w:ascii="仿宋_GB2312" w:hAnsi="仿宋_GB2312" w:cs="仿宋_GB2312" w:eastAsia="仿宋_GB2312"/>
                <w:sz w:val="28"/>
                <w:b/>
              </w:rPr>
              <w:t>2.数据库成果：</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1）原始图斑矢量数据；</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2）影像判读后矢量数据；</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3）外业巡查后矢量数据；</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4）图斑分类后矢量数据；</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5）审核通过后矢量数据。</w:t>
            </w:r>
          </w:p>
          <w:p>
            <w:pPr>
              <w:pStyle w:val="null5"/>
              <w:ind w:firstLine="562"/>
              <w:jc w:val="both"/>
            </w:pPr>
            <w:r>
              <w:rPr>
                <w:rFonts w:ascii="仿宋_GB2312" w:hAnsi="仿宋_GB2312" w:cs="仿宋_GB2312" w:eastAsia="仿宋_GB2312"/>
                <w:sz w:val="28"/>
                <w:b/>
              </w:rPr>
              <w:t>成果格式和数量：电子版</w:t>
            </w:r>
            <w:r>
              <w:rPr>
                <w:rFonts w:ascii="仿宋_GB2312" w:hAnsi="仿宋_GB2312" w:cs="仿宋_GB2312" w:eastAsia="仿宋_GB2312"/>
                <w:sz w:val="28"/>
                <w:b/>
              </w:rPr>
              <w:t>5份。</w:t>
            </w:r>
          </w:p>
          <w:p>
            <w:pPr>
              <w:pStyle w:val="null5"/>
              <w:ind w:firstLine="562"/>
              <w:jc w:val="both"/>
            </w:pPr>
            <w:r>
              <w:rPr>
                <w:rFonts w:ascii="仿宋_GB2312" w:hAnsi="仿宋_GB2312" w:cs="仿宋_GB2312" w:eastAsia="仿宋_GB2312"/>
                <w:sz w:val="28"/>
                <w:b/>
              </w:rPr>
              <w:t>3.资料汇编：</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1）外业调查表；</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2）外业调查图；</w:t>
            </w:r>
          </w:p>
          <w:p>
            <w:pPr>
              <w:pStyle w:val="null5"/>
              <w:ind w:firstLine="560"/>
              <w:jc w:val="both"/>
            </w:pPr>
            <w:r>
              <w:rPr>
                <w:rFonts w:ascii="仿宋_GB2312" w:hAnsi="仿宋_GB2312" w:cs="仿宋_GB2312" w:eastAsia="仿宋_GB2312"/>
                <w:sz w:val="28"/>
              </w:rPr>
              <w:t>（</w:t>
            </w:r>
            <w:r>
              <w:rPr>
                <w:rFonts w:ascii="仿宋_GB2312" w:hAnsi="仿宋_GB2312" w:cs="仿宋_GB2312" w:eastAsia="仿宋_GB2312"/>
                <w:sz w:val="28"/>
              </w:rPr>
              <w:t>3）分类举证材料</w:t>
            </w:r>
            <w:r>
              <w:rPr>
                <w:rFonts w:ascii="仿宋_GB2312" w:hAnsi="仿宋_GB2312" w:cs="仿宋_GB2312" w:eastAsia="仿宋_GB2312"/>
                <w:sz w:val="28"/>
              </w:rPr>
              <w:t>。</w:t>
            </w:r>
          </w:p>
          <w:p>
            <w:pPr>
              <w:pStyle w:val="null5"/>
              <w:ind w:firstLine="562"/>
              <w:jc w:val="both"/>
            </w:pPr>
            <w:r>
              <w:rPr>
                <w:rFonts w:ascii="仿宋_GB2312" w:hAnsi="仿宋_GB2312" w:cs="仿宋_GB2312" w:eastAsia="仿宋_GB2312"/>
                <w:sz w:val="28"/>
                <w:b/>
              </w:rPr>
              <w:t>成果格式和数量：电子版</w:t>
            </w:r>
            <w:r>
              <w:rPr>
                <w:rFonts w:ascii="仿宋_GB2312" w:hAnsi="仿宋_GB2312" w:cs="仿宋_GB2312" w:eastAsia="仿宋_GB2312"/>
                <w:sz w:val="28"/>
                <w:b/>
              </w:rPr>
              <w:t>5份、纸质版5份。</w:t>
            </w:r>
          </w:p>
          <w:p>
            <w:pPr>
              <w:pStyle w:val="null5"/>
              <w:ind w:firstLine="560"/>
              <w:jc w:val="both"/>
            </w:pP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技术服务方案</w:t>
            </w:r>
          </w:p>
        </w:tc>
        <w:tc>
          <w:tcPr>
            <w:tcW w:type="dxa" w:w="3115"/>
          </w:tcPr>
          <w:p>
            <w:pPr>
              <w:pStyle w:val="null5"/>
              <w:jc w:val="left"/>
            </w:pPr>
            <w:r>
              <w:rPr>
                <w:rFonts w:ascii="仿宋_GB2312" w:hAnsi="仿宋_GB2312" w:cs="仿宋_GB2312" w:eastAsia="仿宋_GB2312"/>
              </w:rPr>
              <w:t>从服务大纲完善、工作任务和内容明确、技术路线清晰、工作步骤和流程安排合理、数据分析处理准确五个方面进行评价，五个方面均合理、全面、可行性强的得15分，五个方面合理、全面、可行性一般得10分，五个方面中存在缺陷或不合理的得5分，不提供不得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组织机构及组织措施</w:t>
            </w:r>
          </w:p>
        </w:tc>
        <w:tc>
          <w:tcPr>
            <w:tcW w:type="dxa" w:w="3115"/>
          </w:tcPr>
          <w:p>
            <w:pPr>
              <w:pStyle w:val="null5"/>
              <w:jc w:val="left"/>
            </w:pPr>
            <w:r>
              <w:rPr>
                <w:rFonts w:ascii="仿宋_GB2312" w:hAnsi="仿宋_GB2312" w:cs="仿宋_GB2312" w:eastAsia="仿宋_GB2312"/>
              </w:rPr>
              <w:t>从责任划分清晰、多部门统筹协作、管理措施得当三个方面进行评价，三方面均全面合理，可行性强得6分，三方面全面合理，可行性一般4分，三个方面中存在缺陷或不合理2分，不提供不得分。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安全作业保障措施</w:t>
            </w:r>
          </w:p>
        </w:tc>
        <w:tc>
          <w:tcPr>
            <w:tcW w:type="dxa" w:w="3115"/>
          </w:tcPr>
          <w:p>
            <w:pPr>
              <w:pStyle w:val="null5"/>
              <w:jc w:val="left"/>
            </w:pPr>
            <w:r>
              <w:rPr>
                <w:rFonts w:ascii="仿宋_GB2312" w:hAnsi="仿宋_GB2312" w:cs="仿宋_GB2312" w:eastAsia="仿宋_GB2312"/>
              </w:rPr>
              <w:t>从安全管理制度完善、安全保障措施合理、安全保障设施配备齐全三个方面进行评价，三个方面均全面合理，可行性强得6分，三个方面全面合理，可行性一般得4分，三个方面中存在缺陷或不合理得2分，不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测绘仪器设备性能指标</w:t>
            </w:r>
          </w:p>
        </w:tc>
        <w:tc>
          <w:tcPr>
            <w:tcW w:type="dxa" w:w="3115"/>
          </w:tcPr>
          <w:p>
            <w:pPr>
              <w:pStyle w:val="null5"/>
              <w:jc w:val="left"/>
            </w:pPr>
            <w:r>
              <w:rPr>
                <w:rFonts w:ascii="仿宋_GB2312" w:hAnsi="仿宋_GB2312" w:cs="仿宋_GB2312" w:eastAsia="仿宋_GB2312"/>
              </w:rPr>
              <w:t>从投入设备功能全面、性能完善、数据准确三个方面进行评价，三个方面均全面合理，可行性强得6分，三个方面全面合理，可行性一般得4分，三个方面中存在缺陷或不合理得2分，不提供不得分。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进度计划</w:t>
            </w:r>
          </w:p>
        </w:tc>
        <w:tc>
          <w:tcPr>
            <w:tcW w:type="dxa" w:w="3115"/>
          </w:tcPr>
          <w:p>
            <w:pPr>
              <w:pStyle w:val="null5"/>
              <w:jc w:val="left"/>
            </w:pPr>
            <w:r>
              <w:rPr>
                <w:rFonts w:ascii="仿宋_GB2312" w:hAnsi="仿宋_GB2312" w:cs="仿宋_GB2312" w:eastAsia="仿宋_GB2312"/>
              </w:rPr>
              <w:t>从计划制定合理、进度目标明确、进度监控严格、纠偏措施完善四个方面进行评价，四个方面均安排合理、措施得力得8分，四个方面安排合理、措施一般得5分，四个方面中存在缺陷或不合理得2分，不提供不得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质量保证措施</w:t>
            </w:r>
          </w:p>
        </w:tc>
        <w:tc>
          <w:tcPr>
            <w:tcW w:type="dxa" w:w="3115"/>
          </w:tcPr>
          <w:p>
            <w:pPr>
              <w:pStyle w:val="null5"/>
              <w:jc w:val="left"/>
            </w:pPr>
            <w:r>
              <w:rPr>
                <w:rFonts w:ascii="仿宋_GB2312" w:hAnsi="仿宋_GB2312" w:cs="仿宋_GB2312" w:eastAsia="仿宋_GB2312"/>
              </w:rPr>
              <w:t>从质量目标明确、工作难点分析透彻、质量控制措施合理、质量评估方案完善四个方面进行评价，四方面内容均全面完整，逻辑清晰合理，细节充分，可行性强得8分，四方面内容全面完整，逻辑清晰合理，细节充分，可行性一般得5分，四个方面中存在缺陷或不合理得2分，不提供不得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保密措施</w:t>
            </w:r>
          </w:p>
        </w:tc>
        <w:tc>
          <w:tcPr>
            <w:tcW w:type="dxa" w:w="3115"/>
          </w:tcPr>
          <w:p>
            <w:pPr>
              <w:pStyle w:val="null5"/>
              <w:jc w:val="left"/>
            </w:pPr>
            <w:r>
              <w:rPr>
                <w:rFonts w:ascii="仿宋_GB2312" w:hAnsi="仿宋_GB2312" w:cs="仿宋_GB2312" w:eastAsia="仿宋_GB2312"/>
              </w:rPr>
              <w:t>1.有针对本项目保密措施且措施全面、详尽、科学、完整得3分，保密措施且措施不够全面、详尽、科学、完整得2分，不提供不得分 2.保密管理人员经国家测绘主管部门安全保密培训合格的（需提供证书证明），每有1人得2分，最高得4分。 本项合计最高得7分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项目负责人</w:t>
            </w:r>
          </w:p>
        </w:tc>
        <w:tc>
          <w:tcPr>
            <w:tcW w:type="dxa" w:w="3115"/>
          </w:tcPr>
          <w:p>
            <w:pPr>
              <w:pStyle w:val="null5"/>
              <w:jc w:val="left"/>
            </w:pPr>
            <w:r>
              <w:rPr>
                <w:rFonts w:ascii="仿宋_GB2312" w:hAnsi="仿宋_GB2312" w:cs="仿宋_GB2312" w:eastAsia="仿宋_GB2312"/>
              </w:rPr>
              <w:t>供应商拟派项目负责人同时具备高级职称（含副高）和注册测绘师的得2分，其他情况不得分。 注：需提供职称证书和资格证书扫描件；退休人员须提供退休相关证明材料及退休返聘协议</w:t>
            </w:r>
          </w:p>
        </w:tc>
        <w:tc>
          <w:tcPr>
            <w:tcW w:type="dxa" w:w="1038"/>
          </w:tcPr>
          <w:p>
            <w:pPr>
              <w:pStyle w:val="null5"/>
              <w:jc w:val="right"/>
            </w:pPr>
            <w:r>
              <w:rPr>
                <w:rFonts w:ascii="仿宋_GB2312" w:hAnsi="仿宋_GB2312" w:cs="仿宋_GB2312" w:eastAsia="仿宋_GB2312"/>
              </w:rPr>
              <w:t>2.00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项目组技术人员</w:t>
            </w:r>
          </w:p>
        </w:tc>
        <w:tc>
          <w:tcPr>
            <w:tcW w:type="dxa" w:w="3115"/>
          </w:tcPr>
          <w:p>
            <w:pPr>
              <w:pStyle w:val="null5"/>
              <w:jc w:val="left"/>
            </w:pPr>
            <w:r>
              <w:rPr>
                <w:rFonts w:ascii="仿宋_GB2312" w:hAnsi="仿宋_GB2312" w:cs="仿宋_GB2312" w:eastAsia="仿宋_GB2312"/>
              </w:rPr>
              <w:t>在满足团队人员要求的同时，团队人员中每增加一名高级职称（含副高）得1.5分，最多得3分；团队人员中每增加一名中级职称得1分，最多得6分；团队人员中每增加一名注册测绘师得1.5分，最多得3分； 注：需提供职称证书及资格证书扫描件，退休人员须提供退休相关证明材料及退休返聘协议；同一人员只计分1次。</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客观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供应商2021年1月1日至今类似项目业绩（类似项目是指国土变更调查、勘测定界或耕地保护等项目），每有1项得2分，最多得10分。 注：提供合同复印件，时间以合同签订时间为准。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w:t>
            </w:r>
          </w:p>
        </w:tc>
        <w:tc>
          <w:tcPr>
            <w:tcW w:type="dxa" w:w="3115"/>
          </w:tcPr>
          <w:p>
            <w:pPr>
              <w:pStyle w:val="null5"/>
              <w:jc w:val="left"/>
            </w:pPr>
            <w:r>
              <w:rPr>
                <w:rFonts w:ascii="仿宋_GB2312" w:hAnsi="仿宋_GB2312" w:cs="仿宋_GB2312" w:eastAsia="仿宋_GB2312"/>
              </w:rPr>
              <w:t>从政策调整应对、沟通协调机制、售后技术支撑、专业售后团队、其他增值服务五个方面进行评价，每有一个方面全面合理，可行性强最高得2分，本项最高得10分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技术服务方案</w:t>
            </w:r>
          </w:p>
        </w:tc>
        <w:tc>
          <w:tcPr>
            <w:tcW w:type="dxa" w:w="3115"/>
          </w:tcPr>
          <w:p>
            <w:pPr>
              <w:pStyle w:val="null5"/>
              <w:jc w:val="left"/>
            </w:pPr>
            <w:r>
              <w:rPr>
                <w:rFonts w:ascii="仿宋_GB2312" w:hAnsi="仿宋_GB2312" w:cs="仿宋_GB2312" w:eastAsia="仿宋_GB2312"/>
              </w:rPr>
              <w:t>从服务大纲完善、工作任务和内容明确、技术路线清晰、工作步骤和流程安排合理、数据分析处理准确五个方面进行评价，五个方面均合理、全面、可行性强的得15分，五个方面合理、全面、可行性一般得10分，五个方面中存在缺陷或不合理的得5分，不提供不得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组织机构及组织措施</w:t>
            </w:r>
          </w:p>
        </w:tc>
        <w:tc>
          <w:tcPr>
            <w:tcW w:type="dxa" w:w="3115"/>
          </w:tcPr>
          <w:p>
            <w:pPr>
              <w:pStyle w:val="null5"/>
              <w:jc w:val="left"/>
            </w:pPr>
            <w:r>
              <w:rPr>
                <w:rFonts w:ascii="仿宋_GB2312" w:hAnsi="仿宋_GB2312" w:cs="仿宋_GB2312" w:eastAsia="仿宋_GB2312"/>
              </w:rPr>
              <w:t>从责任划分清晰、多部门统筹协作、管理措施得当三个方面进行评价，三方面均全面合理，可行性强得6分，三方面全面合理，可行性一般4分，三个方面中存在缺陷或不合理2分，不提供不得分。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安全作业保障措施</w:t>
            </w:r>
          </w:p>
        </w:tc>
        <w:tc>
          <w:tcPr>
            <w:tcW w:type="dxa" w:w="3115"/>
          </w:tcPr>
          <w:p>
            <w:pPr>
              <w:pStyle w:val="null5"/>
              <w:jc w:val="left"/>
            </w:pPr>
            <w:r>
              <w:rPr>
                <w:rFonts w:ascii="仿宋_GB2312" w:hAnsi="仿宋_GB2312" w:cs="仿宋_GB2312" w:eastAsia="仿宋_GB2312"/>
              </w:rPr>
              <w:t>从安全管理制度完善、安全保障措施合理、安全保障设施配备齐全三个方面进行评价，三个方面均全面合理，可行性强得6分，三个方面全面合理，可行性一般得4分，三个方面中存在缺陷或不合理得2分，不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测绘仪器设备性能指标</w:t>
            </w:r>
          </w:p>
        </w:tc>
        <w:tc>
          <w:tcPr>
            <w:tcW w:type="dxa" w:w="3115"/>
          </w:tcPr>
          <w:p>
            <w:pPr>
              <w:pStyle w:val="null5"/>
              <w:jc w:val="left"/>
            </w:pPr>
            <w:r>
              <w:rPr>
                <w:rFonts w:ascii="仿宋_GB2312" w:hAnsi="仿宋_GB2312" w:cs="仿宋_GB2312" w:eastAsia="仿宋_GB2312"/>
              </w:rPr>
              <w:t>从投入设备功能全面、性能完善、数据准确三个方面进行评价，三个方面均全面合理，可行性强得6分，三个方面全面合理，可行性一般得4分，三个方面中存在缺陷或不合理得2分，不提供不得分。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进度计划</w:t>
            </w:r>
          </w:p>
        </w:tc>
        <w:tc>
          <w:tcPr>
            <w:tcW w:type="dxa" w:w="3115"/>
          </w:tcPr>
          <w:p>
            <w:pPr>
              <w:pStyle w:val="null5"/>
              <w:jc w:val="left"/>
            </w:pPr>
            <w:r>
              <w:rPr>
                <w:rFonts w:ascii="仿宋_GB2312" w:hAnsi="仿宋_GB2312" w:cs="仿宋_GB2312" w:eastAsia="仿宋_GB2312"/>
              </w:rPr>
              <w:t>从计划制定合理、进度目标明确、进度监控严格、纠偏措施完善四个方面进行评价，四个方面均安排合理、措施得力得8分，四个方面安排合理、措施一般得5分，四个方面中存在缺陷或不合理得2分，不提供不得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质量保证措施</w:t>
            </w:r>
          </w:p>
        </w:tc>
        <w:tc>
          <w:tcPr>
            <w:tcW w:type="dxa" w:w="3115"/>
          </w:tcPr>
          <w:p>
            <w:pPr>
              <w:pStyle w:val="null5"/>
              <w:jc w:val="left"/>
            </w:pPr>
            <w:r>
              <w:rPr>
                <w:rFonts w:ascii="仿宋_GB2312" w:hAnsi="仿宋_GB2312" w:cs="仿宋_GB2312" w:eastAsia="仿宋_GB2312"/>
              </w:rPr>
              <w:t>从质量目标明确、工作难点分析透彻、质量控制措施合理、质量评估方案完善四个方面进行评价，四方面内容均全面完整，逻辑清晰合理，细节充分，可行性强得8分，四方面内容全面完整，逻辑清晰合理，细节充分，可行性一般得5分，四个方面中存在缺陷或不合理得2分，不提供不得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保密措施</w:t>
            </w:r>
          </w:p>
        </w:tc>
        <w:tc>
          <w:tcPr>
            <w:tcW w:type="dxa" w:w="3115"/>
          </w:tcPr>
          <w:p>
            <w:pPr>
              <w:pStyle w:val="null5"/>
              <w:jc w:val="left"/>
            </w:pPr>
            <w:r>
              <w:rPr>
                <w:rFonts w:ascii="仿宋_GB2312" w:hAnsi="仿宋_GB2312" w:cs="仿宋_GB2312" w:eastAsia="仿宋_GB2312"/>
              </w:rPr>
              <w:t>1.有针对本项目保密措施且措施全面、详尽、科学、完整得3分，保密措施且措施不够全面、详尽、科学、完整得2分，不提供不得分 2.保密管理人员经国家测绘主管部门安全保密培训合格的（需提供证书证明），每有1人得2分，最高得4分。 本项合计最高得7分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项目负责人</w:t>
            </w:r>
          </w:p>
        </w:tc>
        <w:tc>
          <w:tcPr>
            <w:tcW w:type="dxa" w:w="3115"/>
          </w:tcPr>
          <w:p>
            <w:pPr>
              <w:pStyle w:val="null5"/>
              <w:jc w:val="left"/>
            </w:pPr>
            <w:r>
              <w:rPr>
                <w:rFonts w:ascii="仿宋_GB2312" w:hAnsi="仿宋_GB2312" w:cs="仿宋_GB2312" w:eastAsia="仿宋_GB2312"/>
              </w:rPr>
              <w:t>供应商拟派项目负责人同时具备高级职称（含副高）和注册测绘师的得2分，其他情况不得分。 注：需提供职称证书和资格证书扫描件；退休人员须提供退休相关证明材料及退休返聘协议</w:t>
            </w:r>
          </w:p>
        </w:tc>
        <w:tc>
          <w:tcPr>
            <w:tcW w:type="dxa" w:w="1038"/>
          </w:tcPr>
          <w:p>
            <w:pPr>
              <w:pStyle w:val="null5"/>
              <w:jc w:val="right"/>
            </w:pPr>
            <w:r>
              <w:rPr>
                <w:rFonts w:ascii="仿宋_GB2312" w:hAnsi="仿宋_GB2312" w:cs="仿宋_GB2312" w:eastAsia="仿宋_GB2312"/>
              </w:rPr>
              <w:t>2.00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项目组技术人员</w:t>
            </w:r>
          </w:p>
        </w:tc>
        <w:tc>
          <w:tcPr>
            <w:tcW w:type="dxa" w:w="3115"/>
          </w:tcPr>
          <w:p>
            <w:pPr>
              <w:pStyle w:val="null5"/>
              <w:jc w:val="left"/>
            </w:pPr>
            <w:r>
              <w:rPr>
                <w:rFonts w:ascii="仿宋_GB2312" w:hAnsi="仿宋_GB2312" w:cs="仿宋_GB2312" w:eastAsia="仿宋_GB2312"/>
              </w:rPr>
              <w:t>在满足团队人员要求的同时，团队人员中每增加一名高级职称（含副高）得1.5分，最多得3分；团队人员中每增加一名中级职称得1分，最多得6分；团队人员中每增加一名注册测绘师得1.5分，最多得3分； 注：需提供职称证书及资格证书扫描件，退休人员须提供退休相关证明材料及退休返聘协议；同一人员只计分1次。</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客观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供应商2021年1月1日至今类似项目业绩（类似项目是指国土变更调查、勘测定界或耕地保护等项目），每有1项得2分，最多得10分。 注：提供合同复印件，时间以合同签订时间为准。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w:t>
            </w:r>
          </w:p>
        </w:tc>
        <w:tc>
          <w:tcPr>
            <w:tcW w:type="dxa" w:w="3115"/>
          </w:tcPr>
          <w:p>
            <w:pPr>
              <w:pStyle w:val="null5"/>
              <w:jc w:val="left"/>
            </w:pPr>
            <w:r>
              <w:rPr>
                <w:rFonts w:ascii="仿宋_GB2312" w:hAnsi="仿宋_GB2312" w:cs="仿宋_GB2312" w:eastAsia="仿宋_GB2312"/>
              </w:rPr>
              <w:t>从政策调整应对、沟通协调机制、售后技术支撑、专业售后团队、其他增值服务五个方面进行评价，每有一个方面全面合理，可行性强最高得2分，本项最高得10分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技术服务方案</w:t>
            </w:r>
          </w:p>
        </w:tc>
        <w:tc>
          <w:tcPr>
            <w:tcW w:type="dxa" w:w="3115"/>
          </w:tcPr>
          <w:p>
            <w:pPr>
              <w:pStyle w:val="null5"/>
              <w:jc w:val="left"/>
            </w:pPr>
            <w:r>
              <w:rPr>
                <w:rFonts w:ascii="仿宋_GB2312" w:hAnsi="仿宋_GB2312" w:cs="仿宋_GB2312" w:eastAsia="仿宋_GB2312"/>
              </w:rPr>
              <w:t>从服务大纲完善、工作任务和内容明确、技术路线清晰、工作步骤和流程安排合理、数据分析处理准确五个方面进行评价，五个方面均合理、全面、可行性强的得15分，五个方面合理、全面、可行性一般得10分，五个方面中存在缺陷或不合理的得5分，不提供不得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组织机构及组织措施</w:t>
            </w:r>
          </w:p>
        </w:tc>
        <w:tc>
          <w:tcPr>
            <w:tcW w:type="dxa" w:w="3115"/>
          </w:tcPr>
          <w:p>
            <w:pPr>
              <w:pStyle w:val="null5"/>
              <w:jc w:val="left"/>
            </w:pPr>
            <w:r>
              <w:rPr>
                <w:rFonts w:ascii="仿宋_GB2312" w:hAnsi="仿宋_GB2312" w:cs="仿宋_GB2312" w:eastAsia="仿宋_GB2312"/>
              </w:rPr>
              <w:t>从责任划分清晰、多部门统筹协作、管理措施得当三个方面进行评价，三方面均全面合理，可行性强得6分，三方面全面合理，可行性一般4分，三个方面中存在缺陷或不合理2分，不提供不得分。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安全作业保障措施</w:t>
            </w:r>
          </w:p>
        </w:tc>
        <w:tc>
          <w:tcPr>
            <w:tcW w:type="dxa" w:w="3115"/>
          </w:tcPr>
          <w:p>
            <w:pPr>
              <w:pStyle w:val="null5"/>
              <w:jc w:val="left"/>
            </w:pPr>
            <w:r>
              <w:rPr>
                <w:rFonts w:ascii="仿宋_GB2312" w:hAnsi="仿宋_GB2312" w:cs="仿宋_GB2312" w:eastAsia="仿宋_GB2312"/>
              </w:rPr>
              <w:t>从安全管理制度完善、安全保障措施合理、安全保障设施配备齐全三个方面进行评价，三个方面均全面合理，可行性强得6分，三个方面全面合理，可行性一般得4分，三个方面中存在缺陷或不合理得2分，不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测绘仪器设备性能指标</w:t>
            </w:r>
          </w:p>
        </w:tc>
        <w:tc>
          <w:tcPr>
            <w:tcW w:type="dxa" w:w="3115"/>
          </w:tcPr>
          <w:p>
            <w:pPr>
              <w:pStyle w:val="null5"/>
              <w:jc w:val="left"/>
            </w:pPr>
            <w:r>
              <w:rPr>
                <w:rFonts w:ascii="仿宋_GB2312" w:hAnsi="仿宋_GB2312" w:cs="仿宋_GB2312" w:eastAsia="仿宋_GB2312"/>
              </w:rPr>
              <w:t>从投入设备功能全面、性能完善、数据准确三个方面进行评价，三个方面均全面合理，可行性强得6分，三个方面全面合理，可行性一般得4分，三个方面中存在缺陷或不合理得2分，不提供不得分。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进度计划</w:t>
            </w:r>
          </w:p>
        </w:tc>
        <w:tc>
          <w:tcPr>
            <w:tcW w:type="dxa" w:w="3115"/>
          </w:tcPr>
          <w:p>
            <w:pPr>
              <w:pStyle w:val="null5"/>
              <w:jc w:val="left"/>
            </w:pPr>
            <w:r>
              <w:rPr>
                <w:rFonts w:ascii="仿宋_GB2312" w:hAnsi="仿宋_GB2312" w:cs="仿宋_GB2312" w:eastAsia="仿宋_GB2312"/>
              </w:rPr>
              <w:t>从计划制定合理、进度目标明确、进度监控严格、纠偏措施完善四个方面进行评价，四个方面均安排合理、措施得力得8分，四个方面安排合理、措施一般得5分，四个方面中存在缺陷或不合理得2分，不提供不得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质量保证措施</w:t>
            </w:r>
          </w:p>
        </w:tc>
        <w:tc>
          <w:tcPr>
            <w:tcW w:type="dxa" w:w="3115"/>
          </w:tcPr>
          <w:p>
            <w:pPr>
              <w:pStyle w:val="null5"/>
              <w:jc w:val="left"/>
            </w:pPr>
            <w:r>
              <w:rPr>
                <w:rFonts w:ascii="仿宋_GB2312" w:hAnsi="仿宋_GB2312" w:cs="仿宋_GB2312" w:eastAsia="仿宋_GB2312"/>
              </w:rPr>
              <w:t>从质量目标明确、工作难点分析透彻、质量控制措施合理、质量评估方案完善四个方面进行评价，四方面内容均全面完整，逻辑清晰合理，细节充分，可行性强得8分，四方面内容全面完整，逻辑清晰合理，细节充分，可行性一般得5分，四个方面中存在缺陷或不合理得2分，不提供不得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保密措施</w:t>
            </w:r>
          </w:p>
        </w:tc>
        <w:tc>
          <w:tcPr>
            <w:tcW w:type="dxa" w:w="3115"/>
          </w:tcPr>
          <w:p>
            <w:pPr>
              <w:pStyle w:val="null5"/>
              <w:jc w:val="left"/>
            </w:pPr>
            <w:r>
              <w:rPr>
                <w:rFonts w:ascii="仿宋_GB2312" w:hAnsi="仿宋_GB2312" w:cs="仿宋_GB2312" w:eastAsia="仿宋_GB2312"/>
              </w:rPr>
              <w:t>1.有针对本项目保密措施且措施全面、详尽、科学、完整得3分，保密措施且措施不够全面、详尽、科学、完整得2分，不提供不得分 2.保密管理人员经国家测绘主管部门安全保密培训合格的（需提供证书证明），每有1人得2分，最高得4分。 本项合计最高得7分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项目负责人</w:t>
            </w:r>
          </w:p>
        </w:tc>
        <w:tc>
          <w:tcPr>
            <w:tcW w:type="dxa" w:w="3115"/>
          </w:tcPr>
          <w:p>
            <w:pPr>
              <w:pStyle w:val="null5"/>
              <w:jc w:val="left"/>
            </w:pPr>
            <w:r>
              <w:rPr>
                <w:rFonts w:ascii="仿宋_GB2312" w:hAnsi="仿宋_GB2312" w:cs="仿宋_GB2312" w:eastAsia="仿宋_GB2312"/>
              </w:rPr>
              <w:t>供应商拟派项目负责人同时具备高级职称（含副高）和注册测绘师的得2分，其他情况不得分。 注：需提供职称证书和资格证书扫描件；退休人员须提供退休相关证明材料及退休返聘协议</w:t>
            </w:r>
          </w:p>
        </w:tc>
        <w:tc>
          <w:tcPr>
            <w:tcW w:type="dxa" w:w="1038"/>
          </w:tcPr>
          <w:p>
            <w:pPr>
              <w:pStyle w:val="null5"/>
              <w:jc w:val="right"/>
            </w:pPr>
            <w:r>
              <w:rPr>
                <w:rFonts w:ascii="仿宋_GB2312" w:hAnsi="仿宋_GB2312" w:cs="仿宋_GB2312" w:eastAsia="仿宋_GB2312"/>
              </w:rPr>
              <w:t>2.00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项目组技术人员</w:t>
            </w:r>
          </w:p>
        </w:tc>
        <w:tc>
          <w:tcPr>
            <w:tcW w:type="dxa" w:w="3115"/>
          </w:tcPr>
          <w:p>
            <w:pPr>
              <w:pStyle w:val="null5"/>
              <w:jc w:val="left"/>
            </w:pPr>
            <w:r>
              <w:rPr>
                <w:rFonts w:ascii="仿宋_GB2312" w:hAnsi="仿宋_GB2312" w:cs="仿宋_GB2312" w:eastAsia="仿宋_GB2312"/>
              </w:rPr>
              <w:t>在满足团队人员要求的同时，团队人员中每增加一名高级职称（含副高）得1.5分，最多得3分；团队人员中每增加一名中级职称得1分，最多得6分；团队人员中每增加一名注册测绘师得1.5分，最多得3分； 注：需提供职称证书及资格证书扫描件，退休人员须提供退休相关证明材料及退休返聘协议；同一人员只计分1次。</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客观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供应商2021年1月1日至今类似项目业绩（类似项目是指国土变更调查、勘测定界或耕地保护等项目），每有1项得2分，最多得10分。 注：提供合同复印件，时间以合同签订时间为准。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w:t>
            </w:r>
          </w:p>
        </w:tc>
        <w:tc>
          <w:tcPr>
            <w:tcW w:type="dxa" w:w="3115"/>
          </w:tcPr>
          <w:p>
            <w:pPr>
              <w:pStyle w:val="null5"/>
              <w:jc w:val="left"/>
            </w:pPr>
            <w:r>
              <w:rPr>
                <w:rFonts w:ascii="仿宋_GB2312" w:hAnsi="仿宋_GB2312" w:cs="仿宋_GB2312" w:eastAsia="仿宋_GB2312"/>
              </w:rPr>
              <w:t>从政策调整应对、沟通协调机制、售后技术支撑、专业售后团队、其他增值服务五个方面进行评价，每有一个方面全面合理，可行性强最高得2分，本项最高得10分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采购包2：</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采购包3：</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