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2025年绿化养护管理机械车辆租赁服务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呼和浩特市植物园</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呼和浩特市政府采购中心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150101-HSZC-CS-20250010</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呼和浩特市政府采购中心</w:t>
      </w:r>
      <w:r>
        <w:rPr>
          <w:rFonts w:ascii="仿宋_GB2312" w:hAnsi="仿宋_GB2312" w:cs="仿宋_GB2312" w:eastAsia="仿宋_GB2312"/>
        </w:rPr>
        <w:t xml:space="preserve"> 受 </w:t>
      </w:r>
      <w:r>
        <w:rPr>
          <w:rFonts w:ascii="仿宋_GB2312" w:hAnsi="仿宋_GB2312" w:cs="仿宋_GB2312" w:eastAsia="仿宋_GB2312"/>
        </w:rPr>
        <w:t>呼和浩特市植物园</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2025年绿化养护管理机械车辆租赁服务</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2025年绿化养护管理机械车辆租赁服务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150101-HSZC-CS-20250010</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呼政采计划[2025]00312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吊车：8-12吨自卸吊</w:t>
            </w:r>
          </w:p>
        </w:tc>
        <w:tc>
          <w:tcPr>
            <w:tcW w:type="dxa" w:w="831"/>
          </w:tcPr>
          <w:p>
            <w:pPr>
              <w:pStyle w:val="null5"/>
              <w:jc w:val="right"/>
            </w:pPr>
            <w:r>
              <w:rPr>
                <w:rFonts w:ascii="仿宋_GB2312" w:hAnsi="仿宋_GB2312" w:cs="仿宋_GB2312" w:eastAsia="仿宋_GB2312"/>
              </w:rPr>
              <w:t>15.00</w:t>
            </w:r>
          </w:p>
        </w:tc>
        <w:tc>
          <w:tcPr>
            <w:tcW w:type="dxa" w:w="831"/>
          </w:tcPr>
          <w:p>
            <w:pPr>
              <w:pStyle w:val="null5"/>
              <w:jc w:val="right"/>
            </w:pPr>
            <w:r>
              <w:rPr>
                <w:rFonts w:ascii="仿宋_GB2312" w:hAnsi="仿宋_GB2312" w:cs="仿宋_GB2312" w:eastAsia="仿宋_GB2312"/>
              </w:rPr>
              <w:t>22,500.00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20吨以上吊车</w:t>
            </w:r>
          </w:p>
        </w:tc>
        <w:tc>
          <w:tcPr>
            <w:tcW w:type="dxa" w:w="831"/>
          </w:tcPr>
          <w:p>
            <w:pPr>
              <w:pStyle w:val="null5"/>
              <w:jc w:val="right"/>
            </w:pPr>
            <w:r>
              <w:rPr>
                <w:rFonts w:ascii="仿宋_GB2312" w:hAnsi="仿宋_GB2312" w:cs="仿宋_GB2312" w:eastAsia="仿宋_GB2312"/>
              </w:rPr>
              <w:t>8.00</w:t>
            </w:r>
          </w:p>
        </w:tc>
        <w:tc>
          <w:tcPr>
            <w:tcW w:type="dxa" w:w="831"/>
          </w:tcPr>
          <w:p>
            <w:pPr>
              <w:pStyle w:val="null5"/>
              <w:jc w:val="right"/>
            </w:pPr>
            <w:r>
              <w:rPr>
                <w:rFonts w:ascii="仿宋_GB2312" w:hAnsi="仿宋_GB2312" w:cs="仿宋_GB2312" w:eastAsia="仿宋_GB2312"/>
              </w:rPr>
              <w:t>16,000.00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叉车</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8,000.00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25型挖掘机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13,000.00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60-90挖掘机</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right"/>
            </w:pPr>
            <w:r>
              <w:rPr>
                <w:rFonts w:ascii="仿宋_GB2312" w:hAnsi="仿宋_GB2312" w:cs="仿宋_GB2312" w:eastAsia="仿宋_GB2312"/>
              </w:rPr>
              <w:t>39,000.00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150型挖掘机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16,000.00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150型胶轮挖掘机</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12,650.00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230-275型挖掘机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6,400.00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60-90型挖掘机</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55,350.00</w:t>
            </w:r>
          </w:p>
        </w:tc>
        <w:tc>
          <w:tcPr>
            <w:tcW w:type="dxa" w:w="831"/>
          </w:tcPr>
          <w:p>
            <w:pPr>
              <w:pStyle w:val="null5"/>
              <w:jc w:val="left"/>
            </w:pPr>
            <w:r>
              <w:rPr>
                <w:rFonts w:ascii="仿宋_GB2312" w:hAnsi="仿宋_GB2312" w:cs="仿宋_GB2312" w:eastAsia="仿宋_GB2312"/>
              </w:rPr>
              <w:t>月</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270型及以上挖掘机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32,000.00</w:t>
            </w:r>
          </w:p>
        </w:tc>
        <w:tc>
          <w:tcPr>
            <w:tcW w:type="dxa" w:w="831"/>
          </w:tcPr>
          <w:p>
            <w:pPr>
              <w:pStyle w:val="null5"/>
              <w:jc w:val="left"/>
            </w:pPr>
            <w:r>
              <w:rPr>
                <w:rFonts w:ascii="仿宋_GB2312" w:hAnsi="仿宋_GB2312" w:cs="仿宋_GB2312" w:eastAsia="仿宋_GB2312"/>
              </w:rPr>
              <w:t>月</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30型及以下装载机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12,000.00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50型装载机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30型装载机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23,000.00</w:t>
            </w:r>
          </w:p>
        </w:tc>
        <w:tc>
          <w:tcPr>
            <w:tcW w:type="dxa" w:w="831"/>
          </w:tcPr>
          <w:p>
            <w:pPr>
              <w:pStyle w:val="null5"/>
              <w:jc w:val="left"/>
            </w:pPr>
            <w:r>
              <w:rPr>
                <w:rFonts w:ascii="仿宋_GB2312" w:hAnsi="仿宋_GB2312" w:cs="仿宋_GB2312" w:eastAsia="仿宋_GB2312"/>
              </w:rPr>
              <w:t>月</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50型装载机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月</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10T中自卸车（每车8-10立方）</w:t>
            </w:r>
          </w:p>
        </w:tc>
        <w:tc>
          <w:tcPr>
            <w:tcW w:type="dxa" w:w="831"/>
          </w:tcPr>
          <w:p>
            <w:pPr>
              <w:pStyle w:val="null5"/>
              <w:jc w:val="right"/>
            </w:pPr>
            <w:r>
              <w:rPr>
                <w:rFonts w:ascii="仿宋_GB2312" w:hAnsi="仿宋_GB2312" w:cs="仿宋_GB2312" w:eastAsia="仿宋_GB2312"/>
              </w:rPr>
              <w:t>9.00</w:t>
            </w:r>
          </w:p>
        </w:tc>
        <w:tc>
          <w:tcPr>
            <w:tcW w:type="dxa" w:w="831"/>
          </w:tcPr>
          <w:p>
            <w:pPr>
              <w:pStyle w:val="null5"/>
              <w:jc w:val="right"/>
            </w:pPr>
            <w:r>
              <w:rPr>
                <w:rFonts w:ascii="仿宋_GB2312" w:hAnsi="仿宋_GB2312" w:cs="仿宋_GB2312" w:eastAsia="仿宋_GB2312"/>
              </w:rPr>
              <w:t>3,150.00</w:t>
            </w:r>
          </w:p>
        </w:tc>
        <w:tc>
          <w:tcPr>
            <w:tcW w:type="dxa" w:w="831"/>
          </w:tcPr>
          <w:p>
            <w:pPr>
              <w:pStyle w:val="null5"/>
              <w:jc w:val="left"/>
            </w:pPr>
            <w:r>
              <w:rPr>
                <w:rFonts w:ascii="仿宋_GB2312" w:hAnsi="仿宋_GB2312" w:cs="仿宋_GB2312" w:eastAsia="仿宋_GB2312"/>
              </w:rPr>
              <w:t>趟</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10T中自卸车（每车8-10立方）</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3,790.00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压路机3T</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水车10T</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3,500.00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水车20-25T（含25T）</w:t>
            </w:r>
          </w:p>
        </w:tc>
        <w:tc>
          <w:tcPr>
            <w:tcW w:type="dxa" w:w="831"/>
          </w:tcPr>
          <w:p>
            <w:pPr>
              <w:pStyle w:val="null5"/>
              <w:jc w:val="right"/>
            </w:pPr>
            <w:r>
              <w:rPr>
                <w:rFonts w:ascii="仿宋_GB2312" w:hAnsi="仿宋_GB2312" w:cs="仿宋_GB2312" w:eastAsia="仿宋_GB2312"/>
              </w:rPr>
              <w:t>6.00</w:t>
            </w:r>
          </w:p>
        </w:tc>
        <w:tc>
          <w:tcPr>
            <w:tcW w:type="dxa" w:w="831"/>
          </w:tcPr>
          <w:p>
            <w:pPr>
              <w:pStyle w:val="null5"/>
              <w:jc w:val="right"/>
            </w:pPr>
            <w:r>
              <w:rPr>
                <w:rFonts w:ascii="仿宋_GB2312" w:hAnsi="仿宋_GB2312" w:cs="仿宋_GB2312" w:eastAsia="仿宋_GB2312"/>
              </w:rPr>
              <w:t>132,000.00</w:t>
            </w:r>
          </w:p>
        </w:tc>
        <w:tc>
          <w:tcPr>
            <w:tcW w:type="dxa" w:w="831"/>
          </w:tcPr>
          <w:p>
            <w:pPr>
              <w:pStyle w:val="null5"/>
              <w:jc w:val="left"/>
            </w:pPr>
            <w:r>
              <w:rPr>
                <w:rFonts w:ascii="仿宋_GB2312" w:hAnsi="仿宋_GB2312" w:cs="仿宋_GB2312" w:eastAsia="仿宋_GB2312"/>
              </w:rPr>
              <w:t>月</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水车25T以上</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250,000.00</w:t>
            </w:r>
          </w:p>
        </w:tc>
        <w:tc>
          <w:tcPr>
            <w:tcW w:type="dxa" w:w="831"/>
          </w:tcPr>
          <w:p>
            <w:pPr>
              <w:pStyle w:val="null5"/>
              <w:jc w:val="left"/>
            </w:pPr>
            <w:r>
              <w:rPr>
                <w:rFonts w:ascii="仿宋_GB2312" w:hAnsi="仿宋_GB2312" w:cs="仿宋_GB2312" w:eastAsia="仿宋_GB2312"/>
              </w:rPr>
              <w:t>月</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水车20-25T（含25T）</w:t>
            </w:r>
          </w:p>
        </w:tc>
        <w:tc>
          <w:tcPr>
            <w:tcW w:type="dxa" w:w="831"/>
          </w:tcPr>
          <w:p>
            <w:pPr>
              <w:pStyle w:val="null5"/>
              <w:jc w:val="right"/>
            </w:pPr>
            <w:r>
              <w:rPr>
                <w:rFonts w:ascii="仿宋_GB2312" w:hAnsi="仿宋_GB2312" w:cs="仿宋_GB2312" w:eastAsia="仿宋_GB2312"/>
              </w:rPr>
              <w:t>1,490.00</w:t>
            </w:r>
          </w:p>
        </w:tc>
        <w:tc>
          <w:tcPr>
            <w:tcW w:type="dxa" w:w="831"/>
          </w:tcPr>
          <w:p>
            <w:pPr>
              <w:pStyle w:val="null5"/>
              <w:jc w:val="right"/>
            </w:pPr>
            <w:r>
              <w:rPr>
                <w:rFonts w:ascii="仿宋_GB2312" w:hAnsi="仿宋_GB2312" w:cs="仿宋_GB2312" w:eastAsia="仿宋_GB2312"/>
              </w:rPr>
              <w:t>22,350.00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绿色环保自卸翻斗车（15m³）</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34,000.00</w:t>
            </w:r>
          </w:p>
        </w:tc>
        <w:tc>
          <w:tcPr>
            <w:tcW w:type="dxa" w:w="831"/>
          </w:tcPr>
          <w:p>
            <w:pPr>
              <w:pStyle w:val="null5"/>
              <w:jc w:val="left"/>
            </w:pPr>
            <w:r>
              <w:rPr>
                <w:rFonts w:ascii="仿宋_GB2312" w:hAnsi="仿宋_GB2312" w:cs="仿宋_GB2312" w:eastAsia="仿宋_GB2312"/>
              </w:rPr>
              <w:t>车</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50立方米半挂车</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3,300.00</w:t>
            </w:r>
          </w:p>
        </w:tc>
        <w:tc>
          <w:tcPr>
            <w:tcW w:type="dxa" w:w="831"/>
          </w:tcPr>
          <w:p>
            <w:pPr>
              <w:pStyle w:val="null5"/>
              <w:jc w:val="left"/>
            </w:pPr>
            <w:r>
              <w:rPr>
                <w:rFonts w:ascii="仿宋_GB2312" w:hAnsi="仿宋_GB2312" w:cs="仿宋_GB2312" w:eastAsia="仿宋_GB2312"/>
              </w:rPr>
              <w:t>车</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马路清扫车10T</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25</w:t>
            </w:r>
          </w:p>
        </w:tc>
        <w:tc>
          <w:tcPr>
            <w:tcW w:type="dxa" w:w="831"/>
          </w:tcPr>
          <w:p>
            <w:pPr>
              <w:pStyle w:val="null5"/>
              <w:jc w:val="left"/>
            </w:pPr>
            <w:r>
              <w:rPr>
                <w:rFonts w:ascii="仿宋_GB2312" w:hAnsi="仿宋_GB2312" w:cs="仿宋_GB2312" w:eastAsia="仿宋_GB2312"/>
              </w:rPr>
              <w:t>高空作业车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5,500.00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26</w:t>
            </w:r>
          </w:p>
        </w:tc>
        <w:tc>
          <w:tcPr>
            <w:tcW w:type="dxa" w:w="831"/>
          </w:tcPr>
          <w:p>
            <w:pPr>
              <w:pStyle w:val="null5"/>
              <w:jc w:val="left"/>
            </w:pPr>
            <w:r>
              <w:rPr>
                <w:rFonts w:ascii="仿宋_GB2312" w:hAnsi="仿宋_GB2312" w:cs="仿宋_GB2312" w:eastAsia="仿宋_GB2312"/>
              </w:rPr>
              <w:t>吸粪排污车5T</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1,500.00</w:t>
            </w:r>
          </w:p>
        </w:tc>
        <w:tc>
          <w:tcPr>
            <w:tcW w:type="dxa" w:w="831"/>
          </w:tcPr>
          <w:p>
            <w:pPr>
              <w:pStyle w:val="null5"/>
              <w:jc w:val="left"/>
            </w:pPr>
            <w:r>
              <w:rPr>
                <w:rFonts w:ascii="仿宋_GB2312" w:hAnsi="仿宋_GB2312" w:cs="仿宋_GB2312" w:eastAsia="仿宋_GB2312"/>
              </w:rPr>
              <w:t>趟</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27</w:t>
            </w:r>
          </w:p>
        </w:tc>
        <w:tc>
          <w:tcPr>
            <w:tcW w:type="dxa" w:w="831"/>
          </w:tcPr>
          <w:p>
            <w:pPr>
              <w:pStyle w:val="null5"/>
              <w:jc w:val="left"/>
            </w:pPr>
            <w:r>
              <w:rPr>
                <w:rFonts w:ascii="仿宋_GB2312" w:hAnsi="仿宋_GB2312" w:cs="仿宋_GB2312" w:eastAsia="仿宋_GB2312"/>
              </w:rPr>
              <w:t>厢式货车4.2m×2m×2.1m</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11,600.00</w:t>
            </w:r>
          </w:p>
        </w:tc>
        <w:tc>
          <w:tcPr>
            <w:tcW w:type="dxa" w:w="831"/>
          </w:tcPr>
          <w:p>
            <w:pPr>
              <w:pStyle w:val="null5"/>
              <w:jc w:val="left"/>
            </w:pPr>
            <w:r>
              <w:rPr>
                <w:rFonts w:ascii="仿宋_GB2312" w:hAnsi="仿宋_GB2312" w:cs="仿宋_GB2312" w:eastAsia="仿宋_GB2312"/>
              </w:rPr>
              <w:t>趟</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28</w:t>
            </w:r>
          </w:p>
        </w:tc>
        <w:tc>
          <w:tcPr>
            <w:tcW w:type="dxa" w:w="831"/>
          </w:tcPr>
          <w:p>
            <w:pPr>
              <w:pStyle w:val="null5"/>
              <w:jc w:val="left"/>
            </w:pPr>
            <w:r>
              <w:rPr>
                <w:rFonts w:ascii="仿宋_GB2312" w:hAnsi="仿宋_GB2312" w:cs="仿宋_GB2312" w:eastAsia="仿宋_GB2312"/>
              </w:rPr>
              <w:t>厢式货车4.2m×2m×2.1m</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4,500.00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29</w:t>
            </w:r>
          </w:p>
        </w:tc>
        <w:tc>
          <w:tcPr>
            <w:tcW w:type="dxa" w:w="831"/>
          </w:tcPr>
          <w:p>
            <w:pPr>
              <w:pStyle w:val="null5"/>
              <w:jc w:val="left"/>
            </w:pPr>
            <w:r>
              <w:rPr>
                <w:rFonts w:ascii="仿宋_GB2312" w:hAnsi="仿宋_GB2312" w:cs="仿宋_GB2312" w:eastAsia="仿宋_GB2312"/>
              </w:rPr>
              <w:t>优质种植土</w:t>
            </w:r>
          </w:p>
        </w:tc>
        <w:tc>
          <w:tcPr>
            <w:tcW w:type="dxa" w:w="831"/>
          </w:tcPr>
          <w:p>
            <w:pPr>
              <w:pStyle w:val="null5"/>
              <w:jc w:val="right"/>
            </w:pPr>
            <w:r>
              <w:rPr>
                <w:rFonts w:ascii="仿宋_GB2312" w:hAnsi="仿宋_GB2312" w:cs="仿宋_GB2312" w:eastAsia="仿宋_GB2312"/>
              </w:rPr>
              <w:t>140.00</w:t>
            </w:r>
          </w:p>
        </w:tc>
        <w:tc>
          <w:tcPr>
            <w:tcW w:type="dxa" w:w="831"/>
          </w:tcPr>
          <w:p>
            <w:pPr>
              <w:pStyle w:val="null5"/>
              <w:jc w:val="right"/>
            </w:pPr>
            <w:r>
              <w:rPr>
                <w:rFonts w:ascii="仿宋_GB2312" w:hAnsi="仿宋_GB2312" w:cs="仿宋_GB2312" w:eastAsia="仿宋_GB2312"/>
              </w:rPr>
              <w:t>3,500.00</w:t>
            </w:r>
          </w:p>
        </w:tc>
        <w:tc>
          <w:tcPr>
            <w:tcW w:type="dxa" w:w="831"/>
          </w:tcPr>
          <w:p>
            <w:pPr>
              <w:pStyle w:val="null5"/>
              <w:jc w:val="left"/>
            </w:pPr>
            <w:r>
              <w:rPr>
                <w:rFonts w:ascii="仿宋_GB2312" w:hAnsi="仿宋_GB2312" w:cs="仿宋_GB2312" w:eastAsia="仿宋_GB2312"/>
              </w:rPr>
              <w:t>m³</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30</w:t>
            </w:r>
          </w:p>
        </w:tc>
        <w:tc>
          <w:tcPr>
            <w:tcW w:type="dxa" w:w="831"/>
          </w:tcPr>
          <w:p>
            <w:pPr>
              <w:pStyle w:val="null5"/>
              <w:jc w:val="left"/>
            </w:pPr>
            <w:r>
              <w:rPr>
                <w:rFonts w:ascii="仿宋_GB2312" w:hAnsi="仿宋_GB2312" w:cs="仿宋_GB2312" w:eastAsia="仿宋_GB2312"/>
              </w:rPr>
              <w:t>土方场内倒运</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right"/>
            </w:pPr>
            <w:r>
              <w:rPr>
                <w:rFonts w:ascii="仿宋_GB2312" w:hAnsi="仿宋_GB2312" w:cs="仿宋_GB2312" w:eastAsia="仿宋_GB2312"/>
              </w:rPr>
              <w:t>210.00</w:t>
            </w:r>
          </w:p>
        </w:tc>
        <w:tc>
          <w:tcPr>
            <w:tcW w:type="dxa" w:w="831"/>
          </w:tcPr>
          <w:p>
            <w:pPr>
              <w:pStyle w:val="null5"/>
              <w:jc w:val="left"/>
            </w:pPr>
            <w:r>
              <w:rPr>
                <w:rFonts w:ascii="仿宋_GB2312" w:hAnsi="仿宋_GB2312" w:cs="仿宋_GB2312" w:eastAsia="仿宋_GB2312"/>
              </w:rPr>
              <w:t>m³</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31</w:t>
            </w:r>
          </w:p>
        </w:tc>
        <w:tc>
          <w:tcPr>
            <w:tcW w:type="dxa" w:w="831"/>
          </w:tcPr>
          <w:p>
            <w:pPr>
              <w:pStyle w:val="null5"/>
              <w:jc w:val="left"/>
            </w:pPr>
            <w:r>
              <w:rPr>
                <w:rFonts w:ascii="仿宋_GB2312" w:hAnsi="仿宋_GB2312" w:cs="仿宋_GB2312" w:eastAsia="仿宋_GB2312"/>
              </w:rPr>
              <w:t>旋耕机</w:t>
            </w:r>
          </w:p>
        </w:tc>
        <w:tc>
          <w:tcPr>
            <w:tcW w:type="dxa" w:w="831"/>
          </w:tcPr>
          <w:p>
            <w:pPr>
              <w:pStyle w:val="null5"/>
              <w:jc w:val="right"/>
            </w:pPr>
            <w:r>
              <w:rPr>
                <w:rFonts w:ascii="仿宋_GB2312" w:hAnsi="仿宋_GB2312" w:cs="仿宋_GB2312" w:eastAsia="仿宋_GB2312"/>
              </w:rPr>
              <w:t>18.00</w:t>
            </w:r>
          </w:p>
        </w:tc>
        <w:tc>
          <w:tcPr>
            <w:tcW w:type="dxa" w:w="831"/>
          </w:tcPr>
          <w:p>
            <w:pPr>
              <w:pStyle w:val="null5"/>
              <w:jc w:val="right"/>
            </w:pPr>
            <w:r>
              <w:rPr>
                <w:rFonts w:ascii="仿宋_GB2312" w:hAnsi="仿宋_GB2312" w:cs="仿宋_GB2312" w:eastAsia="仿宋_GB2312"/>
              </w:rPr>
              <w:t>27,000.00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32</w:t>
            </w:r>
          </w:p>
        </w:tc>
        <w:tc>
          <w:tcPr>
            <w:tcW w:type="dxa" w:w="831"/>
          </w:tcPr>
          <w:p>
            <w:pPr>
              <w:pStyle w:val="null5"/>
              <w:jc w:val="left"/>
            </w:pPr>
            <w:r>
              <w:rPr>
                <w:rFonts w:ascii="仿宋_GB2312" w:hAnsi="仿宋_GB2312" w:cs="仿宋_GB2312" w:eastAsia="仿宋_GB2312"/>
              </w:rPr>
              <w:t>3.5米双桥清雪车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15,500.00</w:t>
            </w:r>
          </w:p>
        </w:tc>
        <w:tc>
          <w:tcPr>
            <w:tcW w:type="dxa" w:w="831"/>
          </w:tcPr>
          <w:p>
            <w:pPr>
              <w:pStyle w:val="null5"/>
              <w:jc w:val="left"/>
            </w:pPr>
            <w:r>
              <w:rPr>
                <w:rFonts w:ascii="仿宋_GB2312" w:hAnsi="仿宋_GB2312" w:cs="仿宋_GB2312" w:eastAsia="仿宋_GB2312"/>
              </w:rPr>
              <w:t>天</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33</w:t>
            </w:r>
          </w:p>
        </w:tc>
        <w:tc>
          <w:tcPr>
            <w:tcW w:type="dxa" w:w="831"/>
          </w:tcPr>
          <w:p>
            <w:pPr>
              <w:pStyle w:val="null5"/>
              <w:jc w:val="left"/>
            </w:pPr>
            <w:r>
              <w:rPr>
                <w:rFonts w:ascii="仿宋_GB2312" w:hAnsi="仿宋_GB2312" w:cs="仿宋_GB2312" w:eastAsia="仿宋_GB2312"/>
              </w:rPr>
              <w:t>3.5米双桥清雪车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3,000.00</w:t>
            </w:r>
          </w:p>
        </w:tc>
        <w:tc>
          <w:tcPr>
            <w:tcW w:type="dxa" w:w="831"/>
          </w:tcPr>
          <w:p>
            <w:pPr>
              <w:pStyle w:val="null5"/>
              <w:jc w:val="left"/>
            </w:pPr>
            <w:r>
              <w:rPr>
                <w:rFonts w:ascii="仿宋_GB2312" w:hAnsi="仿宋_GB2312" w:cs="仿宋_GB2312" w:eastAsia="仿宋_GB2312"/>
              </w:rPr>
              <w:t>小时</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34</w:t>
            </w:r>
          </w:p>
        </w:tc>
        <w:tc>
          <w:tcPr>
            <w:tcW w:type="dxa" w:w="831"/>
          </w:tcPr>
          <w:p>
            <w:pPr>
              <w:pStyle w:val="null5"/>
              <w:jc w:val="left"/>
            </w:pPr>
            <w:r>
              <w:rPr>
                <w:rFonts w:ascii="仿宋_GB2312" w:hAnsi="仿宋_GB2312" w:cs="仿宋_GB2312" w:eastAsia="仿宋_GB2312"/>
              </w:rPr>
              <w:t>2.5米单桥清雪车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10,500.00</w:t>
            </w:r>
          </w:p>
        </w:tc>
        <w:tc>
          <w:tcPr>
            <w:tcW w:type="dxa" w:w="831"/>
          </w:tcPr>
          <w:p>
            <w:pPr>
              <w:pStyle w:val="null5"/>
              <w:jc w:val="left"/>
            </w:pPr>
            <w:r>
              <w:rPr>
                <w:rFonts w:ascii="仿宋_GB2312" w:hAnsi="仿宋_GB2312" w:cs="仿宋_GB2312" w:eastAsia="仿宋_GB2312"/>
              </w:rPr>
              <w:t>天</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35</w:t>
            </w:r>
          </w:p>
        </w:tc>
        <w:tc>
          <w:tcPr>
            <w:tcW w:type="dxa" w:w="831"/>
          </w:tcPr>
          <w:p>
            <w:pPr>
              <w:pStyle w:val="null5"/>
              <w:jc w:val="left"/>
            </w:pPr>
            <w:r>
              <w:rPr>
                <w:rFonts w:ascii="仿宋_GB2312" w:hAnsi="仿宋_GB2312" w:cs="仿宋_GB2312" w:eastAsia="仿宋_GB2312"/>
              </w:rPr>
              <w:t>2.5米单桥清雪车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2,000.00</w:t>
            </w:r>
          </w:p>
        </w:tc>
        <w:tc>
          <w:tcPr>
            <w:tcW w:type="dxa" w:w="831"/>
          </w:tcPr>
          <w:p>
            <w:pPr>
              <w:pStyle w:val="null5"/>
              <w:jc w:val="left"/>
            </w:pPr>
            <w:r>
              <w:rPr>
                <w:rFonts w:ascii="仿宋_GB2312" w:hAnsi="仿宋_GB2312" w:cs="仿宋_GB2312" w:eastAsia="仿宋_GB2312"/>
              </w:rPr>
              <w:t>小时</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36</w:t>
            </w:r>
          </w:p>
        </w:tc>
        <w:tc>
          <w:tcPr>
            <w:tcW w:type="dxa" w:w="831"/>
          </w:tcPr>
          <w:p>
            <w:pPr>
              <w:pStyle w:val="null5"/>
              <w:jc w:val="left"/>
            </w:pPr>
            <w:r>
              <w:rPr>
                <w:rFonts w:ascii="仿宋_GB2312" w:hAnsi="仿宋_GB2312" w:cs="仿宋_GB2312" w:eastAsia="仿宋_GB2312"/>
              </w:rPr>
              <w:t>1.5米皮卡清雪车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6,500.00</w:t>
            </w:r>
          </w:p>
        </w:tc>
        <w:tc>
          <w:tcPr>
            <w:tcW w:type="dxa" w:w="831"/>
          </w:tcPr>
          <w:p>
            <w:pPr>
              <w:pStyle w:val="null5"/>
              <w:jc w:val="left"/>
            </w:pPr>
            <w:r>
              <w:rPr>
                <w:rFonts w:ascii="仿宋_GB2312" w:hAnsi="仿宋_GB2312" w:cs="仿宋_GB2312" w:eastAsia="仿宋_GB2312"/>
              </w:rPr>
              <w:t>天</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37</w:t>
            </w:r>
          </w:p>
        </w:tc>
        <w:tc>
          <w:tcPr>
            <w:tcW w:type="dxa" w:w="831"/>
          </w:tcPr>
          <w:p>
            <w:pPr>
              <w:pStyle w:val="null5"/>
              <w:jc w:val="left"/>
            </w:pPr>
            <w:r>
              <w:rPr>
                <w:rFonts w:ascii="仿宋_GB2312" w:hAnsi="仿宋_GB2312" w:cs="仿宋_GB2312" w:eastAsia="仿宋_GB2312"/>
              </w:rPr>
              <w:t>1.5米皮卡清雪车</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1,500.00</w:t>
            </w:r>
          </w:p>
        </w:tc>
        <w:tc>
          <w:tcPr>
            <w:tcW w:type="dxa" w:w="831"/>
          </w:tcPr>
          <w:p>
            <w:pPr>
              <w:pStyle w:val="null5"/>
              <w:jc w:val="left"/>
            </w:pPr>
            <w:r>
              <w:rPr>
                <w:rFonts w:ascii="仿宋_GB2312" w:hAnsi="仿宋_GB2312" w:cs="仿宋_GB2312" w:eastAsia="仿宋_GB2312"/>
              </w:rPr>
              <w:t>小时</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呼和浩特市政府采购中心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内蒙古自治区呼和浩特市新城区呼和浩特市丁香路2号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郭佳佳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0471-5988122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呼和浩特市植物园</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呼和浩特市赛罕区丝绸之路公园B区</w:t>
      </w:r>
    </w:p>
    <w:p>
      <w:pPr>
        <w:pStyle w:val="null5"/>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侯蕊</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15754710912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本项目不收取代理服务费</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采购包1：单价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呼和浩特市植物园</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呼和浩特市政府采购中心</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本项目是根据呼和浩特市植物园绿化养护管理各项工作需要进行的机械租赁服务采购，本项目服务地点：呼和浩特市植物园园区、机场路沿线、黑沙图草花育苗基地、桃花育苗基地等采购人养护管理范围内。</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呼和浩特市植物园园区、机场路沿线、黑沙图草花育苗基地、桃花育苗基地等采购人养护管理范围内。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 预付款，达到付款条件起30日，支付合同总金额的30.00%</w:t>
            </w:r>
          </w:p>
          <w:p>
            <w:pPr>
              <w:pStyle w:val="null5"/>
              <w:jc w:val="left"/>
            </w:pPr>
            <w:r>
              <w:rPr>
                <w:rFonts w:ascii="仿宋_GB2312" w:hAnsi="仿宋_GB2312" w:cs="仿宋_GB2312" w:eastAsia="仿宋_GB2312"/>
              </w:rPr>
              <w:t>2、本项目服务费以乙方中标报价为准，根据乙方中标价的 分项报价，结合乙方完成的具体服务内容、项目及进度等，经采购方验收合格并核算后，据实结算（以财政实际拨款进度为准）。如乙方基于本合同所提供的服务经甲方认定为合格，且乙方按甲方要求提供真实、合法有效的正规发票、双方对账确认结算凭证后，依照财政结算流程办理结算。甲方履行付款审批期限不视为违约。，达到付款条件起60日，支付合同总金额的30.00%</w:t>
            </w:r>
          </w:p>
          <w:p>
            <w:pPr>
              <w:pStyle w:val="null5"/>
              <w:jc w:val="left"/>
            </w:pPr>
            <w:r>
              <w:rPr>
                <w:rFonts w:ascii="仿宋_GB2312" w:hAnsi="仿宋_GB2312" w:cs="仿宋_GB2312" w:eastAsia="仿宋_GB2312"/>
              </w:rPr>
              <w:t>3、本项目服务费以乙方中标报价为准，根据乙方中标价的 分项报价，结合乙方完成的具体服务内容、项目及进度等，经采购方验收合格并核算后，据实结算（以财政实际拨款进度为准）。如乙方基于本合同所提供的服务经甲方认定为合格，且乙方按甲方要求提供真实、合法有效的正规发票、双方对账确认结算凭证后，依照财政结算流程办理结算。甲方履行付款审批期限不视为违约。，达到付款条件起90日，支付合同总金额的30.00%</w:t>
            </w:r>
          </w:p>
          <w:p>
            <w:pPr>
              <w:pStyle w:val="null5"/>
              <w:jc w:val="left"/>
            </w:pPr>
            <w:r>
              <w:rPr>
                <w:rFonts w:ascii="仿宋_GB2312" w:hAnsi="仿宋_GB2312" w:cs="仿宋_GB2312" w:eastAsia="仿宋_GB2312"/>
              </w:rPr>
              <w:t>4、本项目服务费以乙方中标报价为准，根据乙方中标价的 分项报价，结合乙方完成的具体服务内容、项目及进度等，经采购方验收合格并核算后，据实结算（以财政实际拨款进度为准）。如乙方基于本合同所提供的服务经甲方认定为合格，且乙方按甲方要求提供真实、合法有效的正规发票、双方对账确认结算凭证后，依照财政结算流程办理结算。甲方履行付款审批期限不视为违约。，达到付款条件起90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标的名称：吊车：8-12吨自卸吊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标的名称：20吨以上吊车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标的名称：叉车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标的名称：25型挖掘机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标的名称：60-90挖掘机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标的名称：150型挖掘机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标的名称：150型胶轮挖掘机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标的名称：230-275型挖掘机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单位：元/台班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标的名称：60-90型挖掘机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元/月</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标的名称：270型及以上挖掘机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元/月</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标的名称：30型及以下装载机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标的名称：50型装载机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标的名称：30型装载机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元/月</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标的名称：50型装载机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元/月</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标的名称：10T中自卸车（每车8-10立方）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元/趟</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标的名称：10T中自卸车（每车8-10立方）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标的名称：压路机3T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标的名称：水车10T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不包含水，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标的名称：水车20-25T（含25T）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元/月</w:t>
            </w:r>
          </w:p>
          <w:p>
            <w:pPr>
              <w:pStyle w:val="null5"/>
              <w:jc w:val="left"/>
            </w:pPr>
            <w:r>
              <w:rPr>
                <w:rFonts w:ascii="仿宋_GB2312" w:hAnsi="仿宋_GB2312" w:cs="仿宋_GB2312" w:eastAsia="仿宋_GB2312"/>
              </w:rPr>
              <w:t xml:space="preserve">不包含水，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标的名称：水车25T以上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元/月</w:t>
            </w:r>
          </w:p>
          <w:p>
            <w:pPr>
              <w:pStyle w:val="null5"/>
              <w:jc w:val="left"/>
            </w:pPr>
            <w:r>
              <w:rPr>
                <w:rFonts w:ascii="仿宋_GB2312" w:hAnsi="仿宋_GB2312" w:cs="仿宋_GB2312" w:eastAsia="仿宋_GB2312"/>
              </w:rPr>
              <w:t xml:space="preserve">不包含水，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标的名称：水车20-25T（含25T）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包含水，1、单台班工作时间8小时，台班计算方法如下：以车辆进场时间开始计算，不足半台班按半台班计，超出半台班按一台班计。2、投标方所填写的施工机械报价费用须包括司机、车辆、油料费、保险、税金等全部费用。 3、按月租用的施工机械，一切费用由中标方自理。4、不包含水的水车浇水由采购方提供水源。5、包月车辆每月两天维修时间，超出两天按中标价折合单日费用扣除。6、包月机械使用不足一个月的计算方法：中标金额÷30天×实际服务天数。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标的名称：绿色环保自卸翻斗车（15m³）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元/车</w:t>
            </w:r>
          </w:p>
          <w:p>
            <w:pPr>
              <w:pStyle w:val="null5"/>
              <w:jc w:val="left"/>
            </w:pPr>
            <w:r>
              <w:rPr>
                <w:rFonts w:ascii="仿宋_GB2312" w:hAnsi="仿宋_GB2312" w:cs="仿宋_GB2312" w:eastAsia="仿宋_GB2312"/>
              </w:rPr>
              <w:t>包含装卸费、倾倒费等所有费用（出具三联单），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  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标的名称：50立方米半挂车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元/车</w:t>
            </w:r>
          </w:p>
          <w:p>
            <w:pPr>
              <w:pStyle w:val="null5"/>
              <w:jc w:val="left"/>
            </w:pPr>
            <w:r>
              <w:rPr>
                <w:rFonts w:ascii="仿宋_GB2312" w:hAnsi="仿宋_GB2312" w:cs="仿宋_GB2312" w:eastAsia="仿宋_GB2312"/>
              </w:rPr>
              <w:t>含装车，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标的名称：马路清扫车10T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 xml:space="preserve">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4、不包含水的水车浇水由采购方提供水源。5、包月车辆每月两天维修时间，超出两天按中标价折合单日费用扣除。 6、包月机械使用不足一个月的计算方法：中标金额÷30天×实际服务天数。7、马路清扫车除正常的加水、排污外，需不间断进行清扫作业。 </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标的名称：高空作业车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标的名称：吸粪排污车5T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元/趟</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标的名称：厢式货车4.2m×2m×2.1m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元/趟</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标的名称：厢式货车4.2m×2m×2.1m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2、投标方所填写的施工机械报价费用须包括司机、车辆、油料费、保险、税金等全部费用。3、按月租用的施工机械，一切费用由中标方自理。 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标的名称：优质种植土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元/m³</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 3、按月租用的施工机械，一切费用由中标方自理。 4、不包含水的水车浇水由采购方提供水源。 5、包月车辆每月两天维修时间，超出两天按中标价折合单日费用扣除。6、包月机械使用不足一个月的计算方法：中标金额÷30天×实际服务天数。7、马路清扫车除正常的加水、排污外，需不间断进行清扫作业。8、优质种植土包含5公里运距，包含种植土和机械费用。</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标的名称：土方场内倒运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元/m³</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 3、按月租用的施工机械，一切费用由中标方自理。 4、不包含水的水车浇水由采购方提供水源。 5、包月车辆每月两天维修时间，超出两天按中标价折合单日费用扣除。6、包月机械使用不足一个月的计算方法：中标金额÷30天×实际服务天数。7、马路清扫车除正常的加水、排污外，需不间断进行清扫作业。8、土方场内倒运包含1公里内运距（包含机械装、运费）。</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元/台班</w:t>
            </w:r>
          </w:p>
          <w:p>
            <w:pPr>
              <w:pStyle w:val="null5"/>
              <w:jc w:val="left"/>
            </w:pPr>
            <w:r>
              <w:rPr>
                <w:rFonts w:ascii="仿宋_GB2312" w:hAnsi="仿宋_GB2312" w:cs="仿宋_GB2312" w:eastAsia="仿宋_GB2312"/>
              </w:rPr>
              <w:t>包含司机、拖拉机等全部费用1、单台班工作时间8小时，台班计算方法如下：以车辆进场时间开始计算，不足半台班按半台班计，超出半台班按一台班计。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标的名称：3.5米双桥清雪车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元/天</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标的名称：3.5米双桥清雪车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元／小时</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标的名称：2.5米单桥清雪车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元/天</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标的名称：2.5米单桥清雪车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元／小时</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标的名称：1.5米皮卡清雪车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元/天</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标的名称：1.5米皮卡清雪车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元／小时</w:t>
            </w:r>
          </w:p>
          <w:p>
            <w:pPr>
              <w:pStyle w:val="null5"/>
              <w:jc w:val="left"/>
            </w:pPr>
            <w:r>
              <w:rPr>
                <w:rFonts w:ascii="仿宋_GB2312" w:hAnsi="仿宋_GB2312" w:cs="仿宋_GB2312" w:eastAsia="仿宋_GB2312"/>
              </w:rPr>
              <w:t>1、单台班工作时间8小时，台班计算方法如下：以车辆进场时间开始计算，不足半台班按半台班计，超出半台班按一台班计。 2、投标方所填写的施工机械报价费用须包括司机、车辆、油料费、保险、税金等全部费用。3、按月租用的施工机械，一切费用由中标方自理。4、不包含水的水车浇水由采购方提供水源。5、包月车辆每月两天维修时间，超出两天按中标价折合单日费用扣除。 6、包月机械使用不足一个月的计算方法：中标金额÷30天×实际服务天数。</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本采购包属于专门面向小微企业采购。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技术部分66.00分</w:t>
            </w:r>
          </w:p>
          <w:p>
            <w:pPr>
              <w:pStyle w:val="null5"/>
              <w:jc w:val="left"/>
            </w:pPr>
            <w:r>
              <w:rPr>
                <w:rFonts w:ascii="仿宋_GB2312" w:hAnsi="仿宋_GB2312" w:cs="仿宋_GB2312" w:eastAsia="仿宋_GB2312"/>
              </w:rPr>
              <w:t>商务部分19.00分</w:t>
            </w:r>
          </w:p>
          <w:p>
            <w:pPr>
              <w:pStyle w:val="null5"/>
              <w:jc w:val="left"/>
            </w:pPr>
            <w:r>
              <w:rPr>
                <w:rFonts w:ascii="仿宋_GB2312" w:hAnsi="仿宋_GB2312" w:cs="仿宋_GB2312" w:eastAsia="仿宋_GB2312"/>
              </w:rPr>
              <w:t>报价得分15.00分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总体技术服务方案</w:t>
            </w:r>
          </w:p>
        </w:tc>
        <w:tc>
          <w:tcPr>
            <w:tcW w:type="dxa" w:w="3115"/>
          </w:tcPr>
          <w:p>
            <w:pPr>
              <w:pStyle w:val="null5"/>
              <w:jc w:val="left"/>
            </w:pPr>
            <w:r>
              <w:rPr>
                <w:rFonts w:ascii="仿宋_GB2312" w:hAnsi="仿宋_GB2312" w:cs="仿宋_GB2312" w:eastAsia="仿宋_GB2312"/>
              </w:rPr>
              <w:t>根据投标人提供的技术服务方案进行评审，供应商应结合本项目的特点提供技术服务方案。方案内容应覆盖全面、专业性强，合理性强，内容详细、可行性强。以上内容每缺少一项扣2分，或该项存在内容不完整或不符合项目实际情况的扣1分，最多扣10分，不提供不得分。注：内容不完整或不符合项目实际情况是指内容逻辑性差，前后内容无法连贯，脱离了招标文件要求和实际情况，不利于采购人实施。</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要点、难点分析解决方案</w:t>
            </w:r>
          </w:p>
        </w:tc>
        <w:tc>
          <w:tcPr>
            <w:tcW w:type="dxa" w:w="3115"/>
          </w:tcPr>
          <w:p>
            <w:pPr>
              <w:pStyle w:val="null5"/>
              <w:jc w:val="left"/>
            </w:pPr>
            <w:r>
              <w:rPr>
                <w:rFonts w:ascii="仿宋_GB2312" w:hAnsi="仿宋_GB2312" w:cs="仿宋_GB2312" w:eastAsia="仿宋_GB2312"/>
              </w:rPr>
              <w:t>根据投标人提供的要点、难点分析解决方案进行评审，针对本项目的服务特点，供应商提出重点、难点分析及解决方案，以上内容每缺少一项扣4分或该项存在内容不完整或分析不清晰。提出的解决方案不合理的情况扣1分，最多扣8分，不提供不得分。注：内容不完整指内容具有明显缺陷，前后内容无法连贯，解决方案不合理指内容脱离了招标文件要求和实际情况，不利于采购人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服务质量保证措施</w:t>
            </w:r>
          </w:p>
        </w:tc>
        <w:tc>
          <w:tcPr>
            <w:tcW w:type="dxa" w:w="3115"/>
          </w:tcPr>
          <w:p>
            <w:pPr>
              <w:pStyle w:val="null5"/>
              <w:jc w:val="left"/>
            </w:pPr>
            <w:r>
              <w:rPr>
                <w:rFonts w:ascii="仿宋_GB2312" w:hAnsi="仿宋_GB2312" w:cs="仿宋_GB2312" w:eastAsia="仿宋_GB2312"/>
              </w:rPr>
              <w:t>针对本项目供应商提出全面的质量保证措施，重要服务环节的质量控制措施，有针对性的对出现的问题提出解决方案。以上内容每缺少一项扣4分或该项存在内容不完整，措施不得当，解决方案没有针对性的扣1分，最多扣12分，不提供不得分。注：内容不完整指内容具有明显缺陷，前后内容无法连贯，措施不得当指内容脱离了招标文件要求和实际情况，不利于采购人实施。</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机械使用安排计划及机械配置方案</w:t>
            </w:r>
          </w:p>
        </w:tc>
        <w:tc>
          <w:tcPr>
            <w:tcW w:type="dxa" w:w="3115"/>
          </w:tcPr>
          <w:p>
            <w:pPr>
              <w:pStyle w:val="null5"/>
              <w:jc w:val="left"/>
            </w:pPr>
            <w:r>
              <w:rPr>
                <w:rFonts w:ascii="仿宋_GB2312" w:hAnsi="仿宋_GB2312" w:cs="仿宋_GB2312" w:eastAsia="仿宋_GB2312"/>
              </w:rPr>
              <w:t>供应商针对本项目编制合理的机械使用安排计划及完善的机械配置方案。以上内容每缺少一项扣6分或该项存在内容不完整、计划不合理、机械配置方案不完善的扣1分，最多扣12分，不提供不得分。注：内容不完整指内容具有明显缺陷，前后内容无法连贯，计划不合理指内容脱离了招标文件要求和实际情况，不利于采购人实施。</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内部管理制度和 内部管理程序</w:t>
            </w:r>
          </w:p>
        </w:tc>
        <w:tc>
          <w:tcPr>
            <w:tcW w:type="dxa" w:w="3115"/>
          </w:tcPr>
          <w:p>
            <w:pPr>
              <w:pStyle w:val="null5"/>
              <w:jc w:val="left"/>
            </w:pPr>
            <w:r>
              <w:rPr>
                <w:rFonts w:ascii="仿宋_GB2312" w:hAnsi="仿宋_GB2312" w:cs="仿宋_GB2312" w:eastAsia="仿宋_GB2312"/>
              </w:rPr>
              <w:t>供应商针多针对本项目制定的内部管理制度和内部管理程序，包括但不限于激励机制，监督机制，自我约束机制，信息反馈处理机制等内容，以上内容每缺少一项扣2分，或该项存在内容不完整、制度不健全的扣1分，最多扣12分，不提供不得分。注：内容不完整指内容具有明显缺陷，前后内容无法连贯。</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安全管理方案措施</w:t>
            </w:r>
          </w:p>
        </w:tc>
        <w:tc>
          <w:tcPr>
            <w:tcW w:type="dxa" w:w="3115"/>
          </w:tcPr>
          <w:p>
            <w:pPr>
              <w:pStyle w:val="null5"/>
              <w:jc w:val="left"/>
            </w:pPr>
            <w:r>
              <w:rPr>
                <w:rFonts w:ascii="仿宋_GB2312" w:hAnsi="仿宋_GB2312" w:cs="仿宋_GB2312" w:eastAsia="仿宋_GB2312"/>
              </w:rPr>
              <w:t>供应商针对本项目制定安全规范的管理方案，包含服务人员和人身健康及安全管理，车辆设备的安全管理措施。以上内容每缺少一项扣3分，或该项存在内容不完整，安全管理措施不得当的扣1分，最多扣6分。不提供不得分。注：内容不完整指内容具有明显缺陷，前后内容无法连贯，措施不得当指内容脱离了招标文件要求和实际情况，不利于采购人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应急管理方案措施</w:t>
            </w:r>
          </w:p>
        </w:tc>
        <w:tc>
          <w:tcPr>
            <w:tcW w:type="dxa" w:w="3115"/>
          </w:tcPr>
          <w:p>
            <w:pPr>
              <w:pStyle w:val="null5"/>
              <w:jc w:val="left"/>
            </w:pPr>
            <w:r>
              <w:rPr>
                <w:rFonts w:ascii="仿宋_GB2312" w:hAnsi="仿宋_GB2312" w:cs="仿宋_GB2312" w:eastAsia="仿宋_GB2312"/>
              </w:rPr>
              <w:t>应急管理方案措施满分6分，供应商针对本项目制定应急管理方案及措施，内容包含但不限于应对恶劣天气的应急管理措施和应对突发事件紧急情况的应急管理措施，以上内容每缺一项扣3分，或本项内容存在不完整，应急管理措施不得当的情况扣1分，最多扣6分，不提供不得分。注：内容不完整指内容具有明显缺陷，前后内容无法连贯，措施不得当指内容脱离了招标文件要求和实际情况，不利于采购人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供应商具有2022年1月1日(以合同签订时间为准)至投标文件递交截止时同类业绩，每提供一份得1分，本项最多得10分。（以响应文件中提供的合同原件扫描件为准）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拟派服务设备及 证明资料</w:t>
            </w:r>
          </w:p>
        </w:tc>
        <w:tc>
          <w:tcPr>
            <w:tcW w:type="dxa" w:w="3115"/>
          </w:tcPr>
          <w:p>
            <w:pPr>
              <w:pStyle w:val="null5"/>
              <w:jc w:val="left"/>
            </w:pPr>
            <w:r>
              <w:rPr>
                <w:rFonts w:ascii="仿宋_GB2312" w:hAnsi="仿宋_GB2312" w:cs="仿宋_GB2312" w:eastAsia="仿宋_GB2312"/>
              </w:rPr>
              <w:t>供应商拟派本项目的车辆机械设备为供应商自有的（提供自有车辆机械设备购买发票和该车辆机械设备照片），或车辆机械设备具有有效期内的保险单据证明，或具有车辆机械设备的租赁证明的（提供租赁合同），每提供1台车辆机械设备的证明得1分，本项最多得9分。（提供的自有车辆机械设备购买发票和车辆机械设备照片，车辆机械设备有效期内的保险单据证明材料，车辆机械设备的租赁合同等复印件装订于响应文件中，否则不予评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