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新城区公检法西北侧地块线路切改工程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呼和浩特市新城区住房和城乡建设局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内蒙古谱信工程项目管理有限公司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150102-NMGPX-CS-20250001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内蒙古谱信工程项目管理有限公司</w:t>
      </w:r>
      <w:r>
        <w:rPr>
          <w:rFonts w:ascii="仿宋_GB2312" w:hAnsi="仿宋_GB2312" w:cs="仿宋_GB2312" w:eastAsia="仿宋_GB2312"/>
        </w:rPr>
        <w:t xml:space="preserve"> 受 </w:t>
      </w:r>
      <w:r>
        <w:rPr>
          <w:rFonts w:ascii="仿宋_GB2312" w:hAnsi="仿宋_GB2312" w:cs="仿宋_GB2312" w:eastAsia="仿宋_GB2312"/>
        </w:rPr>
        <w:t>呼和浩特市新城区住房和城乡建设局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新城区公检法西北侧地块线路切改工程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新城区公检法西北侧地块线路切改工程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150102-NMGPX-CS-20250001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新政采计划[2025]00009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3,950,000.00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新城区公检法西北侧地块线路切改工程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3,950,000.00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企业资质要求：供应商须具有建设行政主管部门核发的有效期内的电力工程施工总承包叁级(含)以上资质或输变电工程专业承包叁级(含)以上资质，且具有有效的安全生产许可证;同时具有国家能源局(国家电力监管委员会)核发的有效期内五级(含)以上承装(修、试)电力设施许可证。</w:t>
      </w:r>
    </w:p>
    <w:p>
      <w:pPr>
        <w:pStyle w:val="null5"/>
        <w:jc w:val="left"/>
      </w:pPr>
      <w:r>
        <w:rPr>
          <w:rFonts w:ascii="仿宋_GB2312" w:hAnsi="仿宋_GB2312" w:cs="仿宋_GB2312" w:eastAsia="仿宋_GB2312"/>
        </w:rPr>
        <w:t>2、项目经理要求：供应商拟派项目责任人须具备机电工程专业二级(含)以上级注册建造师执业资格，具备有效的安全生产考核合格证书(B本)，且不得担任其他在施建设工程项目的项目经理（提供承诺书，格式自拟）。</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内蒙古谱信工程项目管理有限公司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内蒙古自治区呼和浩特市赛罕区乌兰察布东路北国之春生态园68号高新科技示范园2号楼3068室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马刚</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15326051841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呼和浩特市新城区住房和城乡建设局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呼和浩特市新城区新华大街新东方教育大厦9楼</w:t>
      </w:r>
    </w:p>
    <w:p>
      <w:pPr>
        <w:pStyle w:val="null5"/>
      </w:pPr>
      <w:r>
        <w:rPr>
          <w:rFonts w:ascii="仿宋_GB2312" w:hAnsi="仿宋_GB2312" w:cs="仿宋_GB2312" w:eastAsia="仿宋_GB2312"/>
        </w:rPr>
        <w:t xml:space="preserve"> 邮编： </w:t>
      </w:r>
      <w:r>
        <w:rPr>
          <w:rFonts w:ascii="仿宋_GB2312" w:hAnsi="仿宋_GB2312" w:cs="仿宋_GB2312" w:eastAsia="仿宋_GB2312"/>
        </w:rPr>
        <w:t>010000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扈凯</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15804718878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代理服务费收费标准：参照《内蒙古自治区建设工程招标代理服务收费指导意见》内工建协【2022】34号文件</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不涉及</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呼和浩特市新城区住房和城乡建设局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内蒙古谱信工程项目管理有限公司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本工程为恰西变9507恰通线主线1号杆南支线路到南支9#杆为止的架空线路改造迁改入地工程，包括支线到新城区公安局、检察院、法院配电室及路灯照明变压器、地块临时变压器为止。</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90日历天</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呼和浩特市新城区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1、合同签订并且开工后，达到付款条件起15日，支付合同总金额的30.00%</w:t>
            </w:r>
          </w:p>
          <w:p>
            <w:pPr>
              <w:pStyle w:val="null5"/>
              <w:jc w:val="left"/>
            </w:pPr>
            <w:r>
              <w:rPr>
                <w:rFonts w:ascii="仿宋_GB2312" w:hAnsi="仿宋_GB2312" w:cs="仿宋_GB2312" w:eastAsia="仿宋_GB2312"/>
              </w:rPr>
              <w:t>2、工程竣工后，达到付款条件起15日，支付合同总金额的30.00%</w:t>
            </w:r>
          </w:p>
          <w:p>
            <w:pPr>
              <w:pStyle w:val="null5"/>
              <w:jc w:val="left"/>
            </w:pPr>
            <w:r>
              <w:rPr>
                <w:rFonts w:ascii="仿宋_GB2312" w:hAnsi="仿宋_GB2312" w:cs="仿宋_GB2312" w:eastAsia="仿宋_GB2312"/>
              </w:rPr>
              <w:t>3、工程竣工验收合格，出具结算审计报告后，达到付款条件起15日，支付合同总金额的40.00%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标的名称：新城区公检法西北侧地块线路切改工程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企业资质要求</w:t>
            </w:r>
          </w:p>
        </w:tc>
        <w:tc>
          <w:tcPr>
            <w:tcW w:type="dxa" w:w="4984"/>
          </w:tcPr>
          <w:p>
            <w:pPr>
              <w:pStyle w:val="null5"/>
              <w:jc w:val="left"/>
            </w:pPr>
            <w:r>
              <w:rPr>
                <w:rFonts w:ascii="仿宋_GB2312" w:hAnsi="仿宋_GB2312" w:cs="仿宋_GB2312" w:eastAsia="仿宋_GB2312"/>
              </w:rPr>
              <w:t>供应商须具有建设行政主管部门核发的有效期内的电力工程施工总承包叁级(含)以上资质或输变电工程专业承包叁级(含)以上资质，且具有有效的安全生产许可证;同时具有国家能源局(国家电力监管委员会)核发的有效期内五级(含)以上承装(修、试)电力设施许可证。</w:t>
            </w:r>
          </w:p>
        </w:tc>
      </w:tr>
      <w:tr>
        <w:tc>
          <w:tcPr>
            <w:tcW w:type="dxa" w:w="3322"/>
          </w:tcPr>
          <w:p>
            <w:pPr>
              <w:pStyle w:val="null5"/>
              <w:jc w:val="left"/>
            </w:pPr>
            <w:r>
              <w:rPr>
                <w:rFonts w:ascii="仿宋_GB2312" w:hAnsi="仿宋_GB2312" w:cs="仿宋_GB2312" w:eastAsia="仿宋_GB2312"/>
              </w:rPr>
              <w:t>项目经理要求</w:t>
            </w:r>
          </w:p>
        </w:tc>
        <w:tc>
          <w:tcPr>
            <w:tcW w:type="dxa" w:w="4984"/>
          </w:tcPr>
          <w:p>
            <w:pPr>
              <w:pStyle w:val="null5"/>
              <w:jc w:val="left"/>
            </w:pPr>
            <w:r>
              <w:rPr>
                <w:rFonts w:ascii="仿宋_GB2312" w:hAnsi="仿宋_GB2312" w:cs="仿宋_GB2312" w:eastAsia="仿宋_GB2312"/>
              </w:rPr>
              <w:t>供应商拟派项目责任人须具备机电工程专业二级(含)以上级注册建造师执业资格，具备有效的安全生产考核合格证书(B本)，且不得担任其他在施建设工程项目的项目经理（提供承诺书，格式自拟）。</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1.施工方案内容齐全且合理可行，合理化建议符合项目特点（0-2.5分）； 2.施工技术措施满足项目要求且合理可行（0-2.5分）； 3.施工管理目标明确（0-2.5分）； 4.施工组织部署满足项目要求且合理可行（0-2.5分）。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质量管理保证措施</w:t>
            </w:r>
          </w:p>
        </w:tc>
        <w:tc>
          <w:tcPr>
            <w:tcW w:type="dxa" w:w="3115"/>
          </w:tcPr>
          <w:p>
            <w:pPr>
              <w:pStyle w:val="null5"/>
              <w:jc w:val="left"/>
            </w:pPr>
            <w:r>
              <w:rPr>
                <w:rFonts w:ascii="仿宋_GB2312" w:hAnsi="仿宋_GB2312" w:cs="仿宋_GB2312" w:eastAsia="仿宋_GB2312"/>
              </w:rPr>
              <w:t>1.施工质量保证体系和质量检查监督机构健全，有控制措施和手段（0-2.5分）； 2.材料进场质量保证和二次检验制度落实（0-2.5分）； 3.各分部分项工程质量控制目标明确，有成品保护措施（0-2.5分）； 4.有工程质量回访和保修制度（0-2.5分）。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1.施工进度计划及工期保证措施内容齐全且合理可行（0-3分）； 2.有具体的施工进度网络图（或横道图），标注各专业工程进度的横道图线准确、清楚、合理，符合实际施工进度要求，各专业工程施工配合明确、科学（0-3分）； 3.施工总进度计划是否符合竞争性磋商文件规定的工期要求（0-3分）。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1.施工机械配置合理、先进且满足安全技术规范和施工进度需要（0-3分）； 2.拟投入本工程劳动力的配置计划和项目管理机构配备情况满足工程要求（0-3分）； 3.工程中所有使用的机械、设备计划落实，来源明确，并有明细表（0-3分）。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安全管理措施</w:t>
            </w:r>
          </w:p>
        </w:tc>
        <w:tc>
          <w:tcPr>
            <w:tcW w:type="dxa" w:w="3115"/>
          </w:tcPr>
          <w:p>
            <w:pPr>
              <w:pStyle w:val="null5"/>
              <w:jc w:val="left"/>
            </w:pPr>
            <w:r>
              <w:rPr>
                <w:rFonts w:ascii="仿宋_GB2312" w:hAnsi="仿宋_GB2312" w:cs="仿宋_GB2312" w:eastAsia="仿宋_GB2312"/>
              </w:rPr>
              <w:t>1.建立了施工安全保障体系，施工现场管理人员安全生产职责明确（0-2分）； 2.施工安全保证目标或创文明工地目标明确，针对工程特点、周边环境和施工工艺，确定危险源并制定具体的防护措施（0-2分）； 3.施工现场临时用电或其它危险性较大的工程应编制专项施工方案（0-2分）； 4.临时设施、现场道路、材料堆放等应符合有关文明施工、健康卫生的规定（0-2分）。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绿色施工及保障措施</w:t>
            </w:r>
          </w:p>
        </w:tc>
        <w:tc>
          <w:tcPr>
            <w:tcW w:type="dxa" w:w="3115"/>
          </w:tcPr>
          <w:p>
            <w:pPr>
              <w:pStyle w:val="null5"/>
              <w:jc w:val="left"/>
            </w:pPr>
            <w:r>
              <w:rPr>
                <w:rFonts w:ascii="仿宋_GB2312" w:hAnsi="仿宋_GB2312" w:cs="仿宋_GB2312" w:eastAsia="仿宋_GB2312"/>
              </w:rPr>
              <w:t>1.施工采用先进工艺、技术，且详细具体、科学合理（0-3分）； 2.绿色施工措施可靠，组织严谨、针对性强（0-3分）。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施工难点措施</w:t>
            </w:r>
          </w:p>
        </w:tc>
        <w:tc>
          <w:tcPr>
            <w:tcW w:type="dxa" w:w="3115"/>
          </w:tcPr>
          <w:p>
            <w:pPr>
              <w:pStyle w:val="null5"/>
              <w:jc w:val="left"/>
            </w:pPr>
            <w:r>
              <w:rPr>
                <w:rFonts w:ascii="仿宋_GB2312" w:hAnsi="仿宋_GB2312" w:cs="仿宋_GB2312" w:eastAsia="仿宋_GB2312"/>
              </w:rPr>
              <w:t>1.针对本工程特点及施工的特殊性，对施工难点分析准确（0-2分）； 2.对施工难点解决措施得力、切实可行最高（0-2分）。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施工现场平面布置图</w:t>
            </w:r>
          </w:p>
        </w:tc>
        <w:tc>
          <w:tcPr>
            <w:tcW w:type="dxa" w:w="3115"/>
          </w:tcPr>
          <w:p>
            <w:pPr>
              <w:pStyle w:val="null5"/>
              <w:jc w:val="left"/>
            </w:pPr>
            <w:r>
              <w:rPr>
                <w:rFonts w:ascii="仿宋_GB2312" w:hAnsi="仿宋_GB2312" w:cs="仿宋_GB2312" w:eastAsia="仿宋_GB2312"/>
              </w:rPr>
              <w:t>1.针对本工程特点及施工的特殊性，施工现场平面布置图清晰明确、合理可行（0-2分）； 2.平面布置符合安全生产、文明施工要求（0-2分）。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2021年1月1日至投标截止之日的类似业绩，每提供1份得2分，最多得10分。 注：类似业绩以合同协议书或中标通知书为准，日期以合同协议书或中标通知书签订日期为准。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