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向社会力量购买基层社会救助经办服务项目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呼和浩特市玉泉区民政局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内蒙古百证项目管理咨询有限公司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150104-NMGBZ-CS-20250001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内蒙古百证项目管理咨询有限公司</w:t>
      </w:r>
      <w:r>
        <w:rPr>
          <w:rFonts w:ascii="仿宋_GB2312" w:hAnsi="仿宋_GB2312" w:cs="仿宋_GB2312" w:eastAsia="仿宋_GB2312"/>
        </w:rPr>
        <w:t xml:space="preserve"> 受 </w:t>
      </w:r>
      <w:r>
        <w:rPr>
          <w:rFonts w:ascii="仿宋_GB2312" w:hAnsi="仿宋_GB2312" w:cs="仿宋_GB2312" w:eastAsia="仿宋_GB2312"/>
        </w:rPr>
        <w:t>呼和浩特市玉泉区民政局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向社会力量购买基层社会救助经办服务项目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向社会力量购买基层社会救助经办服务项目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150104-NMGBZ-CS-20250001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玉政采计划[2025]00026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呼和浩特市玉泉区民政局向社会力量购买基层社会救助经办服务项目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内蒙古百证项目管理咨询有限公司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内蒙古自治区呼和浩特市回民区沿河东路城发绿园6号楼2单元502号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郭特</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17014714333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呼和浩特市玉泉区民政局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玉泉区政府130室</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刘莎</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0471-6373631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代理服务费收费标准：按照程建设协会文件内工建协（2022）34号（服务）收取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投标文件制作说明: 此项目为电子投标，后台招标文件为系统模板，制作投标文件时请到自治区政府采购网首页自行学习操作方法（网站上有操作视频）。根据具体项目的情况无法准确描述，部分内容只可填空，不可更改 。招标文件中有不适用之处，敬请见谅。如遇问题无法解决，请在工作时间及时拨打电话400-0471-010。</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呼和浩特市玉泉区民政局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内蒙古百证项目管理咨询有限公司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社会救助是保障困难群众基本生活的制度，严格核对申请人的申请条件，是社会救助部门的主要工作之一。通过政府购买服务的方式，可以进一步加强基层社会救助经办服务能力，切实增加社会救助服务有效供给，提高服务质量和效率，进一步激发社会力量活力，推动政府转变职能和政务服务效能提升。通过发挥市场机制作用，坚持政府主导、市场选择、质量为本、便民为民四原则，以强化社会参与、创新服务机制、拓展服务内容、统筹救助资源、提升服务效能为重点，积极推行政府购买服务，向社会力量公开购买基层社会救助经办服务，可以不断提高基层社会救助的服务水平和效率，加强基层社会救助经办服务建设。</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呼和浩特市玉泉区。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1、甲方在签署合同后15日内，支付乙方服务费总额的40%作为项目启动经费.，达到付款条件起15日，支付合同总金额的40.00%</w:t>
            </w:r>
          </w:p>
          <w:p>
            <w:pPr>
              <w:pStyle w:val="null5"/>
              <w:jc w:val="left"/>
            </w:pPr>
            <w:r>
              <w:rPr>
                <w:rFonts w:ascii="仿宋_GB2312" w:hAnsi="仿宋_GB2312" w:cs="仿宋_GB2312" w:eastAsia="仿宋_GB2312"/>
              </w:rPr>
              <w:t>2、项目任务完成一半后支付乙方服务费总额40%，达到付款条件起15日，支付合同总金额的40.00%</w:t>
            </w:r>
          </w:p>
          <w:p>
            <w:pPr>
              <w:pStyle w:val="null5"/>
              <w:jc w:val="left"/>
            </w:pPr>
            <w:r>
              <w:rPr>
                <w:rFonts w:ascii="仿宋_GB2312" w:hAnsi="仿宋_GB2312" w:cs="仿宋_GB2312" w:eastAsia="仿宋_GB2312"/>
              </w:rPr>
              <w:t>3、项目全部完成并验收合格后支付乙方剩余服务费总额20%，达到付款条件起15日，支付合同总金额的20.00%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标的名称：呼和浩特市玉泉区民政局向社会力量购买基层社会救助经办服务项目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outlineLvl w:val="0"/>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、背景及意义</w:t>
            </w:r>
          </w:p>
          <w:p>
            <w:pPr>
              <w:pStyle w:val="null5"/>
              <w:ind w:firstLine="420"/>
              <w:jc w:val="both"/>
            </w:pPr>
            <w:r>
              <w:rPr>
                <w:rFonts w:ascii="仿宋_GB2312" w:hAnsi="仿宋_GB2312" w:cs="仿宋_GB2312" w:eastAsia="仿宋_GB2312"/>
                <w:sz w:val="21"/>
              </w:rPr>
              <w:t>社会救助是保障困难群众基本</w:t>
            </w:r>
            <w:r>
              <w:rPr>
                <w:rFonts w:ascii="仿宋_GB2312" w:hAnsi="仿宋_GB2312" w:cs="仿宋_GB2312" w:eastAsia="仿宋_GB2312"/>
                <w:sz w:val="21"/>
              </w:rPr>
              <w:t>生活的</w:t>
            </w:r>
            <w:r>
              <w:rPr>
                <w:rFonts w:ascii="仿宋_GB2312" w:hAnsi="仿宋_GB2312" w:cs="仿宋_GB2312" w:eastAsia="仿宋_GB2312"/>
                <w:sz w:val="21"/>
              </w:rPr>
              <w:t>制度，严格核对申请人的申请条件，是社会救助部门的主要工作之一。通过政府购买服务的方式，可以进一步加强基层社会救助经办服务能力，切实增加社会救助服务有效供给，提高服务质量和效率，进一步激发社会力量活力，推动政府转变职能和政务服务效能提升。通过发挥市场机制作用，坚持政府主导、市场选择、质量为本、便民为民四原则，以强化社会参与、创新服务机制、拓展服务内容、统筹救助资源、提升服务效能为重点，积极推行政府购买服务，向社会力量公开购买基层社会救助经办服务，可以不断提高基层社会救助的服务水平和效率，加强基层社会救助经办服务建设。</w:t>
            </w:r>
          </w:p>
          <w:p>
            <w:pPr>
              <w:pStyle w:val="null5"/>
              <w:jc w:val="both"/>
              <w:outlineLvl w:val="0"/>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、主要</w:t>
            </w:r>
            <w:r>
              <w:rPr>
                <w:rFonts w:ascii="仿宋_GB2312" w:hAnsi="仿宋_GB2312" w:cs="仿宋_GB2312" w:eastAsia="仿宋_GB2312"/>
                <w:sz w:val="21"/>
                <w:b/>
              </w:rPr>
              <w:t>政策</w:t>
            </w:r>
            <w:r>
              <w:rPr>
                <w:rFonts w:ascii="仿宋_GB2312" w:hAnsi="仿宋_GB2312" w:cs="仿宋_GB2312" w:eastAsia="仿宋_GB2312"/>
                <w:sz w:val="21"/>
                <w:b/>
              </w:rPr>
              <w:t>依据</w:t>
            </w:r>
          </w:p>
          <w:p>
            <w:pPr>
              <w:pStyle w:val="null5"/>
              <w:ind w:firstLine="420"/>
              <w:jc w:val="both"/>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国家民政部、中央编办、财政部、人力资源和社会保障部《关于积极推行政府购买服务加强基层社会救助经办服务能力》（民发</w:t>
            </w:r>
            <w:r>
              <w:rPr>
                <w:rFonts w:ascii="仿宋_GB2312" w:hAnsi="仿宋_GB2312" w:cs="仿宋_GB2312" w:eastAsia="仿宋_GB2312"/>
                <w:sz w:val="21"/>
                <w:shd w:fill="FFFFFF" w:val="clear"/>
              </w:rPr>
              <w:t>[2017]153号）。</w:t>
            </w:r>
          </w:p>
          <w:p>
            <w:pPr>
              <w:pStyle w:val="null5"/>
              <w:ind w:firstLine="420"/>
              <w:jc w:val="both"/>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内蒙古自治区民政厅、编委办、财政厅、人社厅等部门《关于积极推进政府购买服务加强基层社会救助经办服务能力的实施意见》（内民政发</w:t>
            </w:r>
            <w:r>
              <w:rPr>
                <w:rFonts w:ascii="仿宋_GB2312" w:hAnsi="仿宋_GB2312" w:cs="仿宋_GB2312" w:eastAsia="仿宋_GB2312"/>
                <w:sz w:val="21"/>
                <w:shd w:fill="FFFFFF" w:val="clear"/>
              </w:rPr>
              <w:t>[2017]87号）。</w:t>
            </w:r>
          </w:p>
          <w:p>
            <w:pPr>
              <w:pStyle w:val="null5"/>
              <w:ind w:firstLine="420"/>
              <w:jc w:val="both"/>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内蒙古自治区党委办公厅自治区人民政府办公厅《关于改革完善社会救助制度的实施措施》（内党办发〔</w:t>
            </w:r>
            <w:r>
              <w:rPr>
                <w:rFonts w:ascii="仿宋_GB2312" w:hAnsi="仿宋_GB2312" w:cs="仿宋_GB2312" w:eastAsia="仿宋_GB2312"/>
                <w:sz w:val="21"/>
                <w:shd w:fill="FFFFFF" w:val="clear"/>
              </w:rPr>
              <w:t>2021]5号）。</w:t>
            </w:r>
          </w:p>
          <w:p>
            <w:pPr>
              <w:pStyle w:val="null5"/>
              <w:ind w:firstLine="420"/>
              <w:jc w:val="both"/>
            </w:pPr>
            <w:r>
              <w:rPr>
                <w:rFonts w:ascii="仿宋_GB2312" w:hAnsi="仿宋_GB2312" w:cs="仿宋_GB2312" w:eastAsia="仿宋_GB2312"/>
                <w:sz w:val="21"/>
                <w:shd w:fill="FFFFFF" w:val="clear"/>
              </w:rPr>
              <w:t>4、内蒙古自治区民政厅文件《关于进一步规范2023年政府购买社会救助服务工作的通知》（内民政发〔2023〕19号）。</w:t>
            </w:r>
          </w:p>
          <w:p>
            <w:pPr>
              <w:pStyle w:val="null5"/>
              <w:ind w:firstLine="420"/>
              <w:jc w:val="both"/>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呼和浩特市民政局、编委办、财政局、人力资源和社会保障局《关于印发〈呼和浩特市政府购买基层社会救助经办服务实施办法〉的通知》（呼民政发</w:t>
            </w:r>
            <w:r>
              <w:rPr>
                <w:rFonts w:ascii="仿宋_GB2312" w:hAnsi="仿宋_GB2312" w:cs="仿宋_GB2312" w:eastAsia="仿宋_GB2312"/>
                <w:sz w:val="21"/>
                <w:shd w:fill="FFFFFF" w:val="clear"/>
              </w:rPr>
              <w:t>[2018]106号）。</w:t>
            </w:r>
          </w:p>
          <w:p>
            <w:pPr>
              <w:pStyle w:val="null5"/>
              <w:jc w:val="both"/>
              <w:outlineLvl w:val="0"/>
            </w:pPr>
            <w:r>
              <w:rPr>
                <w:rFonts w:ascii="仿宋_GB2312" w:hAnsi="仿宋_GB2312" w:cs="仿宋_GB2312" w:eastAsia="仿宋_GB2312"/>
                <w:sz w:val="21"/>
                <w:b/>
              </w:rPr>
              <w:t>（三）、</w:t>
            </w:r>
            <w:r>
              <w:rPr>
                <w:rFonts w:ascii="仿宋_GB2312" w:hAnsi="仿宋_GB2312" w:cs="仿宋_GB2312" w:eastAsia="仿宋_GB2312"/>
                <w:sz w:val="21"/>
                <w:b/>
              </w:rPr>
              <w:t>购买内容</w:t>
            </w:r>
          </w:p>
          <w:p>
            <w:pPr>
              <w:pStyle w:val="null5"/>
              <w:ind w:firstLine="422"/>
              <w:jc w:val="left"/>
            </w:pPr>
            <w:r>
              <w:rPr>
                <w:rFonts w:ascii="仿宋_GB2312" w:hAnsi="仿宋_GB2312" w:cs="仿宋_GB2312" w:eastAsia="仿宋_GB2312"/>
                <w:sz w:val="21"/>
                <w:b/>
              </w:rPr>
              <w:t>1、</w:t>
            </w:r>
            <w:r>
              <w:rPr>
                <w:rFonts w:ascii="仿宋_GB2312" w:hAnsi="仿宋_GB2312" w:cs="仿宋_GB2312" w:eastAsia="仿宋_GB2312"/>
                <w:sz w:val="21"/>
                <w:b/>
              </w:rPr>
              <w:t>购买内容为社会力量能够承担的社会</w:t>
            </w:r>
            <w:r>
              <w:rPr>
                <w:rFonts w:ascii="仿宋_GB2312" w:hAnsi="仿宋_GB2312" w:cs="仿宋_GB2312" w:eastAsia="仿宋_GB2312"/>
                <w:sz w:val="21"/>
                <w:b/>
                <w:shd w:fill="FFFFFF" w:val="clear"/>
              </w:rPr>
              <w:t>救助服务，主要购</w:t>
            </w:r>
            <w:r>
              <w:rPr>
                <w:rFonts w:ascii="仿宋_GB2312" w:hAnsi="仿宋_GB2312" w:cs="仿宋_GB2312" w:eastAsia="仿宋_GB2312"/>
                <w:sz w:val="21"/>
                <w:b/>
                <w:shd w:fill="FFFFFF" w:val="clear"/>
              </w:rPr>
              <w:t>买以下内容：</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协助镇（街道）完成低保、特困、低保边缘、刚性支出大等低收入人员的入户调查等工作。</w:t>
            </w:r>
            <w:r>
              <w:rPr>
                <w:rFonts w:ascii="仿宋_GB2312" w:hAnsi="仿宋_GB2312" w:cs="仿宋_GB2312" w:eastAsia="仿宋_GB2312"/>
                <w:sz w:val="21"/>
              </w:rPr>
              <w:t>预估约</w:t>
            </w:r>
            <w:r>
              <w:rPr>
                <w:rFonts w:ascii="仿宋_GB2312" w:hAnsi="仿宋_GB2312" w:cs="仿宋_GB2312" w:eastAsia="仿宋_GB2312"/>
                <w:sz w:val="21"/>
              </w:rPr>
              <w:t>7</w:t>
            </w:r>
            <w:r>
              <w:rPr>
                <w:rFonts w:ascii="仿宋_GB2312" w:hAnsi="仿宋_GB2312" w:cs="仿宋_GB2312" w:eastAsia="仿宋_GB2312"/>
                <w:sz w:val="21"/>
              </w:rPr>
              <w:t>50户。</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协助镇（街道）完成在享城乡低保、特困对象定期复核、年审工作。预估约</w:t>
            </w: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00户。</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协助镇（街道）完成社会救助对象的动态监测管理工作。如社会救助对象救助金的增、减、停发等。</w:t>
            </w:r>
            <w:r>
              <w:rPr>
                <w:rFonts w:ascii="仿宋_GB2312" w:hAnsi="仿宋_GB2312" w:cs="仿宋_GB2312" w:eastAsia="仿宋_GB2312"/>
                <w:sz w:val="21"/>
              </w:rPr>
              <w:t>预估</w:t>
            </w:r>
            <w:r>
              <w:rPr>
                <w:rFonts w:ascii="仿宋_GB2312" w:hAnsi="仿宋_GB2312" w:cs="仿宋_GB2312" w:eastAsia="仿宋_GB2312"/>
                <w:sz w:val="21"/>
              </w:rPr>
              <w:t>7</w:t>
            </w:r>
            <w:r>
              <w:rPr>
                <w:rFonts w:ascii="仿宋_GB2312" w:hAnsi="仿宋_GB2312" w:cs="仿宋_GB2312" w:eastAsia="仿宋_GB2312"/>
                <w:sz w:val="21"/>
              </w:rPr>
              <w:t>50户</w:t>
            </w:r>
            <w:r>
              <w:rPr>
                <w:rFonts w:ascii="仿宋_GB2312" w:hAnsi="仿宋_GB2312" w:cs="仿宋_GB2312" w:eastAsia="仿宋_GB2312"/>
                <w:sz w:val="21"/>
              </w:rPr>
              <w:t>。</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对基层工作人员进行社会救助工作相关</w:t>
            </w:r>
            <w:r>
              <w:rPr>
                <w:rFonts w:ascii="仿宋_GB2312" w:hAnsi="仿宋_GB2312" w:cs="仿宋_GB2312" w:eastAsia="仿宋_GB2312"/>
                <w:sz w:val="21"/>
              </w:rPr>
              <w:t>业务</w:t>
            </w:r>
            <w:r>
              <w:rPr>
                <w:rFonts w:ascii="仿宋_GB2312" w:hAnsi="仿宋_GB2312" w:cs="仿宋_GB2312" w:eastAsia="仿宋_GB2312"/>
                <w:sz w:val="21"/>
              </w:rPr>
              <w:t>培训，共</w:t>
            </w:r>
            <w:r>
              <w:rPr>
                <w:rFonts w:ascii="仿宋_GB2312" w:hAnsi="仿宋_GB2312" w:cs="仿宋_GB2312" w:eastAsia="仿宋_GB2312"/>
                <w:sz w:val="21"/>
              </w:rPr>
              <w:t>4</w:t>
            </w:r>
            <w:r>
              <w:rPr>
                <w:rFonts w:ascii="仿宋_GB2312" w:hAnsi="仿宋_GB2312" w:cs="仿宋_GB2312" w:eastAsia="仿宋_GB2312"/>
                <w:sz w:val="21"/>
              </w:rPr>
              <w:t>次</w:t>
            </w:r>
            <w:r>
              <w:rPr>
                <w:rFonts w:ascii="仿宋_GB2312" w:hAnsi="仿宋_GB2312" w:cs="仿宋_GB2312" w:eastAsia="仿宋_GB2312"/>
                <w:sz w:val="21"/>
              </w:rPr>
              <w:t>。</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5）协助镇（街道）完成新申请社会救助对象家庭经济状况核对及预警信息反馈。</w:t>
            </w:r>
            <w:r>
              <w:rPr>
                <w:rFonts w:ascii="仿宋_GB2312" w:hAnsi="仿宋_GB2312" w:cs="仿宋_GB2312" w:eastAsia="仿宋_GB2312"/>
                <w:sz w:val="21"/>
              </w:rPr>
              <w:t>预估约</w:t>
            </w:r>
            <w:r>
              <w:rPr>
                <w:rFonts w:ascii="仿宋_GB2312" w:hAnsi="仿宋_GB2312" w:cs="仿宋_GB2312" w:eastAsia="仿宋_GB2312"/>
                <w:sz w:val="21"/>
              </w:rPr>
              <w:t>840</w:t>
            </w:r>
            <w:r>
              <w:rPr>
                <w:rFonts w:ascii="仿宋_GB2312" w:hAnsi="仿宋_GB2312" w:cs="仿宋_GB2312" w:eastAsia="仿宋_GB2312"/>
                <w:sz w:val="21"/>
              </w:rPr>
              <w:t>人。</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6）协镇（街道）完成在享最低生活保障对象、特困人员等每月定期报告系统认证工作。预估约2000人。</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协助镇（街道）提供社会救助咨询类服务，如日常居民来访接待、咨询申请低保、特困、临时救助等。</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做好与入户调查有关联的其他社会救助工作，如社会救助政策宣传、社会救助对象档案的归档、整理；城乡低保数据统计、汇总、上报工作等。</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按</w:t>
            </w:r>
            <w:r>
              <w:rPr>
                <w:rFonts w:ascii="仿宋_GB2312" w:hAnsi="仿宋_GB2312" w:cs="仿宋_GB2312" w:eastAsia="仿宋_GB2312"/>
                <w:sz w:val="21"/>
              </w:rPr>
              <w:t>2024年最新的工作要求增加其他类型工作，协助镇（街道）社会救助对象帮办、代办“救助通”“一卡通”等相关工作；协助镇（街道）对特困人员进行定期访视、关爱及心理慰藉等工作；协助镇（街道）完成采暖补贴登记工作；完成民政局临时交办的其他社会救助工作。</w:t>
            </w:r>
          </w:p>
          <w:p>
            <w:pPr>
              <w:pStyle w:val="null5"/>
              <w:jc w:val="both"/>
              <w:outlineLvl w:val="0"/>
            </w:pPr>
            <w:r>
              <w:rPr>
                <w:rFonts w:ascii="仿宋_GB2312" w:hAnsi="仿宋_GB2312" w:cs="仿宋_GB2312" w:eastAsia="仿宋_GB2312"/>
                <w:sz w:val="21"/>
                <w:b/>
              </w:rPr>
              <w:t>2、购买具体内容</w:t>
            </w:r>
          </w:p>
          <w:tbl>
            <w:tblPr>
              <w:tblBorders>
                <w:top w:val="none" w:color="000000" w:sz="4"/>
                <w:left w:val="none" w:color="000000" w:sz="4"/>
                <w:bottom w:val="none" w:color="000000" w:sz="4"/>
                <w:right w:val="none" w:color="000000" w:sz="4"/>
                <w:insideH w:val="none"/>
                <w:insideV w:val="none"/>
              </w:tblBorders>
            </w:tblPr>
            <w:tblGrid>
              <w:gridCol w:w="258"/>
              <w:gridCol w:w="436"/>
              <w:gridCol w:w="1435"/>
              <w:gridCol w:w="414"/>
              <w:gridCol w:w="639"/>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序号</w:t>
                  </w:r>
                </w:p>
              </w:tc>
              <w:tc>
                <w:tcPr>
                  <w:tcW w:type="dxa" w:w="187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购买内容</w:t>
                  </w:r>
                </w:p>
              </w:tc>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数量</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质量要求</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8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协助镇（街道）完成低保、特困、低保边缘、刚性支出大等低收入人员的入户调查等工作。预估约</w:t>
                  </w:r>
                  <w:r>
                    <w:rPr>
                      <w:rFonts w:ascii="仿宋_GB2312" w:hAnsi="仿宋_GB2312" w:cs="仿宋_GB2312" w:eastAsia="仿宋_GB2312"/>
                      <w:sz w:val="21"/>
                    </w:rPr>
                    <w:t>750户。</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750户</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提供摸底排查明细表</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w:t>
                  </w:r>
                </w:p>
              </w:tc>
              <w:tc>
                <w:tcPr>
                  <w:tcW w:type="dxa" w:w="18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协助镇（街道）完成在享城乡低保、特困对象定期审核、年审工作。预估约</w:t>
                  </w:r>
                  <w:r>
                    <w:rPr>
                      <w:rFonts w:ascii="仿宋_GB2312" w:hAnsi="仿宋_GB2312" w:cs="仿宋_GB2312" w:eastAsia="仿宋_GB2312"/>
                      <w:sz w:val="21"/>
                    </w:rPr>
                    <w:t>280</w:t>
                  </w:r>
                  <w:r>
                    <w:rPr>
                      <w:rFonts w:ascii="仿宋_GB2312" w:hAnsi="仿宋_GB2312" w:cs="仿宋_GB2312" w:eastAsia="仿宋_GB2312"/>
                      <w:sz w:val="21"/>
                    </w:rPr>
                    <w:t>0户。</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2800户</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提供入户调查或复核或年审明细表</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w:t>
                  </w:r>
                </w:p>
              </w:tc>
              <w:tc>
                <w:tcPr>
                  <w:tcW w:type="dxa" w:w="18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协助镇（街道）完成社会救助对象的动态监测管理工作。如社会救助对象救助金的增、减、停发等。预估约</w:t>
                  </w:r>
                  <w:r>
                    <w:rPr>
                      <w:rFonts w:ascii="仿宋_GB2312" w:hAnsi="仿宋_GB2312" w:cs="仿宋_GB2312" w:eastAsia="仿宋_GB2312"/>
                      <w:sz w:val="21"/>
                    </w:rPr>
                    <w:t>750户。</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750户</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提供增、减、停对象明细表</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w:t>
                  </w:r>
                </w:p>
              </w:tc>
              <w:tc>
                <w:tcPr>
                  <w:tcW w:type="dxa" w:w="18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对基层工作人员进行社会救助工作相关业务培训，共</w:t>
                  </w:r>
                  <w:r>
                    <w:rPr>
                      <w:rFonts w:ascii="仿宋_GB2312" w:hAnsi="仿宋_GB2312" w:cs="仿宋_GB2312" w:eastAsia="仿宋_GB2312"/>
                      <w:sz w:val="21"/>
                    </w:rPr>
                    <w:t>4次。</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4次</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提供培训或者宣传工作佐证材料</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w:t>
                  </w:r>
                </w:p>
              </w:tc>
              <w:tc>
                <w:tcPr>
                  <w:tcW w:type="dxa" w:w="18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协助镇（街道）完成新申请社会救助对象家庭经济状况核对及预警信息反馈。预估约</w:t>
                  </w:r>
                  <w:r>
                    <w:rPr>
                      <w:rFonts w:ascii="仿宋_GB2312" w:hAnsi="仿宋_GB2312" w:cs="仿宋_GB2312" w:eastAsia="仿宋_GB2312"/>
                      <w:sz w:val="21"/>
                    </w:rPr>
                    <w:t>840人。</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840人</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提供核对人员名册</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w:t>
                  </w:r>
                </w:p>
              </w:tc>
              <w:tc>
                <w:tcPr>
                  <w:tcW w:type="dxa" w:w="18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如协镇（街道）完成在享最低生活保障对象、特困人员等每月定期报告系统认证工作。预估约</w:t>
                  </w:r>
                  <w:r>
                    <w:rPr>
                      <w:rFonts w:ascii="仿宋_GB2312" w:hAnsi="仿宋_GB2312" w:cs="仿宋_GB2312" w:eastAsia="仿宋_GB2312"/>
                      <w:sz w:val="21"/>
                    </w:rPr>
                    <w:t>2000人。</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2000人</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提供定期报告认证表</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w:t>
                  </w:r>
                </w:p>
              </w:tc>
              <w:tc>
                <w:tcPr>
                  <w:tcW w:type="dxa" w:w="18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协助镇（街道）提供社会救助咨询类服务，如日常居民来访接待、咨询申请低保、特困、临时救助等。</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1项</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提供来访咨询接待登记表</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w:t>
                  </w:r>
                </w:p>
              </w:tc>
              <w:tc>
                <w:tcPr>
                  <w:tcW w:type="dxa" w:w="18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做好与入户调查有关联的其他社会救助工作，如社会救助政策宣传、社会救助对象档案的归档、整理；城乡低保数据统计、汇总、上报工作等。</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1项</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提供该工作的佐证材料</w:t>
                  </w: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9</w:t>
                  </w:r>
                </w:p>
              </w:tc>
              <w:tc>
                <w:tcPr>
                  <w:tcW w:type="dxa" w:w="4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按</w:t>
                  </w:r>
                  <w:r>
                    <w:rPr>
                      <w:rFonts w:ascii="仿宋_GB2312" w:hAnsi="仿宋_GB2312" w:cs="仿宋_GB2312" w:eastAsia="仿宋_GB2312"/>
                      <w:sz w:val="21"/>
                    </w:rPr>
                    <w:t>2024年最新的的工作要求增加其他类型工作</w:t>
                  </w:r>
                </w:p>
              </w:tc>
              <w:tc>
                <w:tcPr>
                  <w:tcW w:type="dxa" w:w="1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协助镇（街道）社会救助对象帮办、代办</w:t>
                  </w:r>
                  <w:r>
                    <w:rPr>
                      <w:rFonts w:ascii="仿宋_GB2312" w:hAnsi="仿宋_GB2312" w:cs="仿宋_GB2312" w:eastAsia="仿宋_GB2312"/>
                      <w:sz w:val="21"/>
                    </w:rPr>
                    <w:t>“救助通”“一卡通”等相关工作。</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1项</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提供该工作的佐证材料</w:t>
                  </w:r>
                </w:p>
              </w:tc>
            </w:tr>
            <w:tr>
              <w:tc>
                <w:tcPr>
                  <w:tcW w:type="dxa" w:w="258"/>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1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协助镇（街道）对特困人员进行定期访视、关爱及心理慰藉等工作。</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1项</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提供该工作的佐证材料</w:t>
                  </w:r>
                </w:p>
              </w:tc>
            </w:tr>
            <w:tr>
              <w:tc>
                <w:tcPr>
                  <w:tcW w:type="dxa" w:w="258"/>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1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协助镇（街道）完成采暖补贴登记工作。</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1项</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提供该工作的佐证材料</w:t>
                  </w:r>
                </w:p>
              </w:tc>
            </w:tr>
            <w:tr>
              <w:tc>
                <w:tcPr>
                  <w:tcW w:type="dxa" w:w="258"/>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1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完成民政局临时交办的其他社会救助工作。</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1项</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提供该工作的佐证材料</w:t>
                  </w:r>
                </w:p>
              </w:tc>
            </w:tr>
          </w:tbl>
          <w:p>
            <w:pPr>
              <w:pStyle w:val="null5"/>
              <w:jc w:val="both"/>
              <w:outlineLvl w:val="0"/>
            </w:pPr>
            <w:r>
              <w:rPr>
                <w:rFonts w:ascii="仿宋_GB2312" w:hAnsi="仿宋_GB2312" w:cs="仿宋_GB2312" w:eastAsia="仿宋_GB2312"/>
                <w:sz w:val="21"/>
                <w:b/>
              </w:rPr>
              <w:t>3、受益对象范围</w:t>
            </w:r>
          </w:p>
          <w:p>
            <w:pPr>
              <w:pStyle w:val="null5"/>
              <w:jc w:val="both"/>
              <w:outlineLvl w:val="0"/>
            </w:pPr>
            <w:r>
              <w:rPr>
                <w:rFonts w:ascii="仿宋_GB2312" w:hAnsi="仿宋_GB2312" w:cs="仿宋_GB2312" w:eastAsia="仿宋_GB2312"/>
                <w:sz w:val="21"/>
                <w:b/>
              </w:rPr>
              <w:t>玉泉区辖区范围内社会救助对象，包括低保、特困</w:t>
            </w:r>
            <w:r>
              <w:rPr>
                <w:rFonts w:ascii="仿宋_GB2312" w:hAnsi="仿宋_GB2312" w:cs="仿宋_GB2312" w:eastAsia="仿宋_GB2312"/>
                <w:sz w:val="21"/>
                <w:b/>
              </w:rPr>
              <w:t>、</w:t>
            </w:r>
            <w:r>
              <w:rPr>
                <w:rFonts w:ascii="仿宋_GB2312" w:hAnsi="仿宋_GB2312" w:cs="仿宋_GB2312" w:eastAsia="仿宋_GB2312"/>
                <w:sz w:val="21"/>
                <w:b/>
              </w:rPr>
              <w:t>临时救助、低保边缘对象</w:t>
            </w:r>
            <w:r>
              <w:rPr>
                <w:rFonts w:ascii="仿宋_GB2312" w:hAnsi="仿宋_GB2312" w:cs="仿宋_GB2312" w:eastAsia="仿宋_GB2312"/>
                <w:sz w:val="21"/>
                <w:b/>
              </w:rPr>
              <w:t>、刚性支出困难家庭</w:t>
            </w:r>
            <w:r>
              <w:rPr>
                <w:rFonts w:ascii="仿宋_GB2312" w:hAnsi="仿宋_GB2312" w:cs="仿宋_GB2312" w:eastAsia="仿宋_GB2312"/>
                <w:sz w:val="21"/>
                <w:b/>
              </w:rPr>
              <w:t>等</w:t>
            </w:r>
            <w:r>
              <w:rPr>
                <w:rFonts w:ascii="仿宋_GB2312" w:hAnsi="仿宋_GB2312" w:cs="仿宋_GB2312" w:eastAsia="仿宋_GB2312"/>
                <w:sz w:val="21"/>
                <w:b/>
              </w:rPr>
              <w:t>低收入人员</w:t>
            </w:r>
            <w:r>
              <w:rPr>
                <w:rFonts w:ascii="仿宋_GB2312" w:hAnsi="仿宋_GB2312" w:cs="仿宋_GB2312" w:eastAsia="仿宋_GB2312"/>
                <w:sz w:val="21"/>
                <w:b/>
              </w:rPr>
              <w:t>。</w:t>
            </w:r>
          </w:p>
          <w:p>
            <w:pPr>
              <w:pStyle w:val="null5"/>
              <w:jc w:val="both"/>
              <w:outlineLvl w:val="0"/>
            </w:pPr>
            <w:r>
              <w:rPr>
                <w:rFonts w:ascii="仿宋_GB2312" w:hAnsi="仿宋_GB2312" w:cs="仿宋_GB2312" w:eastAsia="仿宋_GB2312"/>
                <w:sz w:val="21"/>
                <w:b/>
              </w:rPr>
              <w:t>（四）质量标准</w:t>
            </w:r>
          </w:p>
          <w:p>
            <w:pPr>
              <w:pStyle w:val="null5"/>
              <w:jc w:val="both"/>
              <w:outlineLvl w:val="0"/>
            </w:pPr>
            <w:r>
              <w:rPr>
                <w:rFonts w:ascii="仿宋_GB2312" w:hAnsi="仿宋_GB2312" w:cs="仿宋_GB2312" w:eastAsia="仿宋_GB2312"/>
                <w:sz w:val="21"/>
                <w:b/>
              </w:rPr>
              <w:t>1.承接主体必须保证能够采用信息化技术等方式开展信息调查、核对工作。</w:t>
            </w:r>
          </w:p>
          <w:p>
            <w:pPr>
              <w:pStyle w:val="null5"/>
              <w:jc w:val="both"/>
              <w:outlineLvl w:val="0"/>
            </w:pPr>
            <w:r>
              <w:rPr>
                <w:rFonts w:ascii="仿宋_GB2312" w:hAnsi="仿宋_GB2312" w:cs="仿宋_GB2312" w:eastAsia="仿宋_GB2312"/>
                <w:sz w:val="21"/>
                <w:b/>
              </w:rPr>
              <w:t>2.承接主体必须制定相应制度并提供人员、设施、设备，有相应的措施确保信息调查、核对在整个运行期间处于受控状态，满足普查、核对要求。有专业的团队进行信息回访、数据查询。</w:t>
            </w:r>
          </w:p>
          <w:p>
            <w:pPr>
              <w:pStyle w:val="null5"/>
              <w:jc w:val="both"/>
              <w:outlineLvl w:val="0"/>
            </w:pPr>
            <w:r>
              <w:rPr>
                <w:rFonts w:ascii="仿宋_GB2312" w:hAnsi="仿宋_GB2312" w:cs="仿宋_GB2312" w:eastAsia="仿宋_GB2312"/>
                <w:sz w:val="21"/>
                <w:b/>
              </w:rPr>
              <w:t>3.承接主体必须依据调查、核对信息要求进行数据报送填报。</w:t>
            </w:r>
          </w:p>
          <w:p>
            <w:pPr>
              <w:pStyle w:val="null5"/>
              <w:jc w:val="both"/>
              <w:outlineLvl w:val="0"/>
            </w:pPr>
            <w:r>
              <w:rPr>
                <w:rFonts w:ascii="仿宋_GB2312" w:hAnsi="仿宋_GB2312" w:cs="仿宋_GB2312" w:eastAsia="仿宋_GB2312"/>
                <w:sz w:val="21"/>
                <w:b/>
              </w:rPr>
              <w:t>4.承接主体应接受绩效考核和管理、提供满足购买服务合同各项要求的有关资料。完成玉泉区民政局交办的与“基层社会救助经办服务项目”相关的工作。</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技术部分74.00分</w:t>
            </w:r>
          </w:p>
          <w:p>
            <w:pPr>
              <w:pStyle w:val="null5"/>
              <w:jc w:val="left"/>
            </w:pPr>
            <w:r>
              <w:rPr>
                <w:rFonts w:ascii="仿宋_GB2312" w:hAnsi="仿宋_GB2312" w:cs="仿宋_GB2312" w:eastAsia="仿宋_GB2312"/>
              </w:rPr>
              <w:t>商务部分16.00分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服务需求内容，项目实施方案考虑周全、内容完整且详实，有相应流程包括：（1）入户调查、（2）实地核查、（3）动态管理、（4）业务培训、（5）救助对象核对、（6）重点对象核对（7）档案管理、（8）入户分析、（9）回访、（10）其他工作；上述要求能提出切实可行的解决方案的，每提供一项得3分；上述要求分析合理，提出的解决方案基本合理的，每提供一项得2分；提出的解决方案可行性不高的，每提供一项得1分；未提供或者存在缺陷不得分，此项最多得30分（存在缺陷是指：凭空捏造、内容前后不一致、前后逻辑错误、涉及的规范及标准错误、地点区域错误、内容缺失、方案出现与本项目无关的内容）。</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实施进度安排</w:t>
            </w:r>
          </w:p>
        </w:tc>
        <w:tc>
          <w:tcPr>
            <w:tcW w:type="dxa" w:w="3115"/>
          </w:tcPr>
          <w:p>
            <w:pPr>
              <w:pStyle w:val="null5"/>
              <w:jc w:val="left"/>
            </w:pPr>
            <w:r>
              <w:rPr>
                <w:rFonts w:ascii="仿宋_GB2312" w:hAnsi="仿宋_GB2312" w:cs="仿宋_GB2312" w:eastAsia="仿宋_GB2312"/>
              </w:rPr>
              <w:t>针对本项目提供工作进度计划安排，包括：（1）项目的总体计划；（2）项目的具体计划；（3）各项工作的衔接；上述安排合理性强、可行性高的，每提供一项得3分；上述安排基本合理，基本可行，每提供一项得2分；提出的安排可行性不高的，每提供一项得1分；未提供或者存在缺陷不得分，此项最多得9分（缺陷是指：凭空捏造、内容前后不一致、前后逻辑错误、涉及的规范及标准错误、地点区域错误、内容缺失、方案出现与本项目无关的内容）。</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服务质量及保证措施（内容包括：质量目标说明、服务质量保障措施、质量保证方案、对服务人群基本情况保密制度及措施）进行综合评审：项目措施具体、合理严谨、可行性强，保证措施全面、有效的每提供一项得3分；措施不完善，未有效针对本项目要求的每提供一项得2分；保证措施一般，无针对本项目内容的每提供一项得1分；未提供或者存在缺陷不得分，此项最多得12分（缺陷是指：凭空捏造、内容前后不一致、前后逻辑错误、涉及的规范及标准错误、地点区域错误、内容缺失、方案出现与本项目无关的内容）。</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内控管理制度</w:t>
            </w:r>
          </w:p>
        </w:tc>
        <w:tc>
          <w:tcPr>
            <w:tcW w:type="dxa" w:w="3115"/>
          </w:tcPr>
          <w:p>
            <w:pPr>
              <w:pStyle w:val="null5"/>
              <w:jc w:val="left"/>
            </w:pPr>
            <w:r>
              <w:rPr>
                <w:rFonts w:ascii="仿宋_GB2312" w:hAnsi="仿宋_GB2312" w:cs="仿宋_GB2312" w:eastAsia="仿宋_GB2312"/>
              </w:rPr>
              <w:t>根据供应商提供的内控管理制度（内容包括：内部岗位责任制度、管理运作制度、考核制度、监督制度及标准）进行综合评审。各项制度、岗位工作标准、考核办法、方案计划健全完善、科学合理、切实可行的，每提供一项得3分；各项制度、岗位工作标准、考核办法、方案计划一般健全、内容较合理，每提供一项得2分；各项制度、岗位工作标准、考核办法、方案计划简单、内容基本合理，每提供一项得1分；未提供或者存在缺陷不得分，此项最多得12分（缺陷是指：凭空捏造、内容前后不一致、前后逻辑错误、涉及的规范及标准错误、地点区域错误、内容缺失、方案出现与本项目无关的内容）。</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突发状况应急措施</w:t>
            </w:r>
          </w:p>
        </w:tc>
        <w:tc>
          <w:tcPr>
            <w:tcW w:type="dxa" w:w="3115"/>
          </w:tcPr>
          <w:p>
            <w:pPr>
              <w:pStyle w:val="null5"/>
              <w:jc w:val="left"/>
            </w:pPr>
            <w:r>
              <w:rPr>
                <w:rFonts w:ascii="仿宋_GB2312" w:hAnsi="仿宋_GB2312" w:cs="仿宋_GB2312" w:eastAsia="仿宋_GB2312"/>
              </w:rPr>
              <w:t>（1）突发人员状况的应急措施；方案对应急情况详细列明，处理措施得当，可行性强，内容完整的得5-6分；方案比较全面、合理，应急预案及措施不完整的得3-4分；未详细列明应急预案及措施，可行性不高的得1-2分；未提供或者存在缺陷不得分；此项最多得6分。（2）突发事件状况的应急措施。方案对应急情况详细列明，处理措施得当，可行性强，内容完整的得4-5分；方案比较全面、合理，应急预案及措施不完整的得2-3分；未详细列明应急预案及措施，可行性不高的得1分；未提供或者存在缺陷不得分，此项最多得5分。（缺陷是指：凭空捏造、内容前后不一致、前后逻辑错误、涉及的规范及标准错误、地点区域错误、内容缺失、方案出现与本项目无关的内容）。</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2022年1月至今具备类似项目业绩，每具备一项业绩得2分，最多得6分。 以上业绩须提供相关佐证材料（注：1.相关佐证材料指：有效的中标通知书或合同扫描件加盖公章，提供不全或未提供此项不得分。2.类似项目业绩指：包含与本项目相类似的购买社会服务项目）。</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专业人员配置</w:t>
            </w:r>
          </w:p>
        </w:tc>
        <w:tc>
          <w:tcPr>
            <w:tcW w:type="dxa" w:w="3115"/>
          </w:tcPr>
          <w:p>
            <w:pPr>
              <w:pStyle w:val="null5"/>
              <w:jc w:val="left"/>
            </w:pPr>
            <w:r>
              <w:rPr>
                <w:rFonts w:ascii="仿宋_GB2312" w:hAnsi="仿宋_GB2312" w:cs="仿宋_GB2312" w:eastAsia="仿宋_GB2312"/>
              </w:rPr>
              <w:t>拟投入本项目的社会工作专业人才具有社会工作者职业资格证书的，每提供1个得1分，最多得10分。（社会工作者职业资格证书以中华人民共和国人力资源和社会保障部批准颁发的为准，需将证书复印件附在响应文件中）</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