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操场提升改造（悬浮地板）项目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呼和浩特市第三十九中学</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内蒙古万和工程项目管理有限责任公司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150105-WHXG--CS-20250001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内蒙古万和工程项目管理有限责任公司</w:t>
      </w:r>
      <w:r>
        <w:rPr>
          <w:rFonts w:ascii="仿宋_GB2312" w:hAnsi="仿宋_GB2312" w:cs="仿宋_GB2312" w:eastAsia="仿宋_GB2312"/>
        </w:rPr>
        <w:t xml:space="preserve"> 受 </w:t>
      </w:r>
      <w:r>
        <w:rPr>
          <w:rFonts w:ascii="仿宋_GB2312" w:hAnsi="仿宋_GB2312" w:cs="仿宋_GB2312" w:eastAsia="仿宋_GB2312"/>
        </w:rPr>
        <w:t>呼和浩特市第三十九中学</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操场提升改造（悬浮地板）项目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操场提升改造（悬浮地板）项目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150105-WHXG--CS-20250001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赛政采计划[2025]00035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959,521.00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操场提升改造（悬浮地板）</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959,521.00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内蒙古万和工程项目管理有限责任公司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内蒙古自治区呼和浩特市玉泉区三里营街道富丽城小区B区办公楼三楼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杨慧</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15326710674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呼和浩特市第三十九中学</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呼和浩特市赛罕区展西路6号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胡炯</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13947167766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代理服务费收费标准：参照内功建协（2022）34号文标准计取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呼和浩特市第三十九中学</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内蒙古万和工程项目管理有限责任公司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操场铺设悬浮地板，具体内容详见工程量清单。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自合同签订之日起20日历天内完成</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呼和浩特市第三十九中学</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1、工程完工且验收合格、待审计审决后，支付合同总金额。，达到付款条件起30日，支付合同总金额的100.00%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标的名称：操场提升改造（悬浮地板）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审查供应商2023或2024年度经会计师事务所出具的财务审计报告或其基本开户银行出具的近一年内的银行资信证明或具有良好的商业信誉和健全的财务会计制度的承诺函。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3.或提供有依法缴纳税收和社会保障资金的良好记录的承诺函。 注：其他组织和自然人也需要提供缴纳税收的凭据金额缴纳社保的凭据。依法免税或不需要缴纳社会保障资金的供应商，应提供相应文件证明其依法免税或不需要缴纳社会保障资金。需同时提供上述第1、2项证明材料或单独提供上述第3项承诺函。</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审查供应商提供的具有履行合同所必需的设备和专业技术能力的证明材料或承诺函。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技术部分73.00分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施工组织部署</w:t>
            </w:r>
          </w:p>
        </w:tc>
        <w:tc>
          <w:tcPr>
            <w:tcW w:type="dxa" w:w="3115"/>
          </w:tcPr>
          <w:p>
            <w:pPr>
              <w:pStyle w:val="null5"/>
              <w:jc w:val="left"/>
            </w:pPr>
            <w:r>
              <w:rPr>
                <w:rFonts w:ascii="仿宋_GB2312" w:hAnsi="仿宋_GB2312" w:cs="仿宋_GB2312" w:eastAsia="仿宋_GB2312"/>
              </w:rPr>
              <w:t>1.有健全的组织机构，管理人员配置合理，明确各岗位职责与权限，最多得3分； 2.施工准备与施工资源计划配置合理，最多得3分； 本项合计最多得6分，无相关内容不得分。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1.主要分部分项工程施工方案和技术措施，最多得4分； 2.技术交底，材料检验，工程质量检查和验收，技术档案等一整套技术管理制度是否健全，最多得4分； 3.施工采用先进工艺、技术，最多得4分； 4.有针对性地提出了工程可能出现质量通病部位和处理对策，最多得4分； 5.施工合理化建议有针对性且满足施工需求，最多得4分。 本项合计最多得20分，无相关内容不得分。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1.施工质量保证体系和质量检查监督机构健全，并有有效的控制措施和手段，最多得3分； 2.材料进场质量保证和二次检验制度落实，最多得3分； 3.成品保护措施，最多得3分； 4.有工程质量回访和保修制度，最多得3分。 本项合计最多得12分，无相关内容不得分。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安全文明目标及保证措施</w:t>
            </w:r>
          </w:p>
        </w:tc>
        <w:tc>
          <w:tcPr>
            <w:tcW w:type="dxa" w:w="3115"/>
          </w:tcPr>
          <w:p>
            <w:pPr>
              <w:pStyle w:val="null5"/>
              <w:jc w:val="left"/>
            </w:pPr>
            <w:r>
              <w:rPr>
                <w:rFonts w:ascii="仿宋_GB2312" w:hAnsi="仿宋_GB2312" w:cs="仿宋_GB2312" w:eastAsia="仿宋_GB2312"/>
              </w:rPr>
              <w:t>1.建立了施工安全保障体系，施工现场管理人员安全生产职责明确，最多得4分； 2.针对工程特点、周边环境和施工工艺，确定危险源并制定具体的防护措施，最多得4分； 3.针对项目实际具有完整的应急救援预案及抵抗风险的措施，最多得4分； 4.施工现场的文明工地管理方案、措施（减少对正常工作教学的干扰），最多得4分； 5.环保管理体系与措施，环境保护措施安全得力，减少噪音，降低环境污染，最多得4分。 本项合计最多得20分，无相关内容不得分。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1.施工进度计划和保证措施详细合理性，最多得5分； 2.进度控制与监控机制有效、可行性，最多得5分； 3.应急预案有效、可行性，最多得5分。 本项合计最多得15分，无相关内容不得分。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供应商提供近3年（2022年1月1日至投标截止日）类似业绩，每提供一个得3分，本项最多得12分。注：1.提供合同（合同关键页，包括但不限于：合同首页、工程内容页、签字盖章页，以合同原件扫描件为准）。 2.日期以合同签订时间为准。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1440"/>
        <w:jc w:val="left"/>
      </w:pPr>
      <w:r>
        <w:rPr>
          <w:rFonts w:ascii="仿宋_GB2312" w:hAnsi="仿宋_GB2312" w:cs="仿宋_GB2312" w:eastAsia="仿宋_GB2312"/>
        </w:rPr>
        <w:t>详见附件：联合体协议</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