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全旗政务内外网</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土默特左旗行政审批政务服务与数据管理局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内蒙古铂赛工程咨询有限公司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150121-NMGBS-CS-20250001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内蒙古铂赛工程咨询有限公司</w:t>
      </w:r>
      <w:r>
        <w:rPr>
          <w:rFonts w:ascii="仿宋_GB2312" w:hAnsi="仿宋_GB2312" w:cs="仿宋_GB2312" w:eastAsia="仿宋_GB2312"/>
        </w:rPr>
        <w:t xml:space="preserve"> 受 </w:t>
      </w:r>
      <w:r>
        <w:rPr>
          <w:rFonts w:ascii="仿宋_GB2312" w:hAnsi="仿宋_GB2312" w:cs="仿宋_GB2312" w:eastAsia="仿宋_GB2312"/>
        </w:rPr>
        <w:t>土默特左旗行政审批政务服务与数据管理局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全旗政务内外网</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全旗政务内外网</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150121-NMGBS-CS-20250001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土左政采计划[2025]00007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全旗政务内外网项目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1、专项资格要求：投标人需具有基础电信业务经营许可证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内蒙古铂赛工程咨询有限公司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内蒙古自治区呼和浩特市新城区内蒙古自治区呼和浩特市新城区南店街绿地智海大厦A4座1302室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15248057210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土默特左旗行政审批政务服务与数据管理局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刺勒川大街南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李占卿</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0471-8165996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代理服务费收费标准：参照内蒙古自治区工程建设协会关于印发《内蒙古自治区建设工程招标代理服务收费指导意见》的通知（内工建协【2022】34号）的文件规定的标准计取。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土默特左旗行政审批政务服务与数据管理局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内蒙古铂赛工程咨询有限公司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根据土默特左旗行政审批服务与数据管理局工作需求，按照内蒙古自治区数字政府建设行动方案要求，配合呼和浩特市大数据对全旗政务专线整合。科学划分电子政务外网网络区域和政务内网网络区域，满足政务服务业务需求，将土默特左旗电子政务外网统一纳管，政务内网统一运营。为实现土默特左旗政务服务“一网通办”、政府治理“一网统管”、政府运行“一网协同”提供强有力的网络保障。 本项目需满足土默特左旗政务网新建、改造及扩容土左特左旗所辖各委办局、行政村等的政务网共计80条线路达100M带宽，并为各委办局、行政村提供一台48口（或2台24口交换机）的接入调试服务，以供各委办局单位接入政务内外网。 共80个点位需开通政务外网和政务内网，统一传输至土默特左旗行政审批服务与数据管理局机房，完成汇聚后统一与呼和浩特市大数据政务内/外网数据核心对接。本项目要求投标人提供的专线应全程全网使用专用设备，不与互联网、家庭宽带上网、个人移动手机上网业务流量共享设备，并且要求采用硬管道传输技术承载专线，确保跟互联网及其他公开网络隔离。 不接受PON/MPLSVPN/IPRAN/PTN 等IP类统计复用、逻辑隔离方式承载。 涉及本项目多业务服务单位接入业务和原有业务不在同一接入机房的单位，实施负责建设连接开通业务，并保证新建和原有业务正常运行。 提供对应网络传输设备、传输通道、相关业务落地的网关设备、光电转换设备。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本项目自合同签订之日起，30日内完成本项目建设，服务期1年。</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土默特左旗</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1、支付比例100%，签订合同后一个月内支付全年服务费用。，达到付款条件起10日，支付合同总金额的100.00%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标的名称：全旗政务内外网项目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114"/>
              <w:gridCol w:w="2157"/>
            </w:tblGrid>
            <w:tr>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1"/>
                    </w:rPr>
                    <w:t>参数</w:t>
                  </w:r>
                </w:p>
                <w:p>
                  <w:pPr>
                    <w:pStyle w:val="null5"/>
                    <w:jc w:val="center"/>
                  </w:pPr>
                  <w:r>
                    <w:rPr>
                      <w:rFonts w:ascii="仿宋_GB2312" w:hAnsi="仿宋_GB2312" w:cs="仿宋_GB2312" w:eastAsia="仿宋_GB2312"/>
                      <w:sz w:val="21"/>
                    </w:rPr>
                    <w:t>性质</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1"/>
                    </w:rPr>
                    <w:t>序</w:t>
                  </w:r>
                  <w:r>
                    <w:rPr>
                      <w:rFonts w:ascii="仿宋_GB2312" w:hAnsi="仿宋_GB2312" w:cs="仿宋_GB2312" w:eastAsia="仿宋_GB2312"/>
                      <w:sz w:val="21"/>
                    </w:rPr>
                    <w:t>号</w:t>
                  </w:r>
                </w:p>
              </w:tc>
              <w:tc>
                <w:tcPr>
                  <w:tcW w:type="dxa" w:w="21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1"/>
                    </w:rPr>
                    <w:t>具体技术（参数）要求</w:t>
                  </w:r>
                </w:p>
              </w:tc>
            </w:tr>
            <w:tr>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ind w:firstLine="480"/>
                    <w:jc w:val="both"/>
                  </w:pP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numPr>
                      <w:ilvl w:val="0"/>
                      <w:numId w:val="1"/>
                    </w:numPr>
                    <w:jc w:val="both"/>
                  </w:pPr>
                  <w:r>
                    <w:rPr>
                      <w:rFonts w:ascii="仿宋_GB2312" w:hAnsi="仿宋_GB2312" w:cs="仿宋_GB2312" w:eastAsia="仿宋_GB2312"/>
                      <w:sz w:val="21"/>
                    </w:rPr>
                    <w:t>△对</w:t>
                  </w:r>
                  <w:r>
                    <w:rPr>
                      <w:rFonts w:ascii="仿宋_GB2312" w:hAnsi="仿宋_GB2312" w:cs="仿宋_GB2312" w:eastAsia="仿宋_GB2312"/>
                      <w:sz w:val="21"/>
                    </w:rPr>
                    <w:t>80</w:t>
                  </w:r>
                  <w:r>
                    <w:rPr>
                      <w:rFonts w:ascii="仿宋_GB2312" w:hAnsi="仿宋_GB2312" w:cs="仿宋_GB2312" w:eastAsia="仿宋_GB2312"/>
                      <w:sz w:val="21"/>
                    </w:rPr>
                    <w:t>个单位开通政务外网服务。</w:t>
                  </w:r>
                </w:p>
                <w:p>
                  <w:pPr>
                    <w:pStyle w:val="null5"/>
                    <w:numPr>
                      <w:ilvl w:val="0"/>
                      <w:numId w:val="1"/>
                    </w:numPr>
                    <w:jc w:val="both"/>
                  </w:pPr>
                  <w:r>
                    <w:rPr>
                      <w:rFonts w:ascii="仿宋_GB2312" w:hAnsi="仿宋_GB2312" w:cs="仿宋_GB2312" w:eastAsia="仿宋_GB2312"/>
                      <w:sz w:val="21"/>
                    </w:rPr>
                    <w:t>△对</w:t>
                  </w:r>
                  <w:r>
                    <w:rPr>
                      <w:rFonts w:ascii="仿宋_GB2312" w:hAnsi="仿宋_GB2312" w:cs="仿宋_GB2312" w:eastAsia="仿宋_GB2312"/>
                      <w:sz w:val="21"/>
                    </w:rPr>
                    <w:t>80</w:t>
                  </w:r>
                  <w:r>
                    <w:rPr>
                      <w:rFonts w:ascii="仿宋_GB2312" w:hAnsi="仿宋_GB2312" w:cs="仿宋_GB2312" w:eastAsia="仿宋_GB2312"/>
                      <w:sz w:val="21"/>
                    </w:rPr>
                    <w:t>个单位开通政务内网服务。</w:t>
                  </w:r>
                </w:p>
                <w:p>
                  <w:pPr>
                    <w:pStyle w:val="null5"/>
                    <w:ind w:firstLine="480"/>
                    <w:jc w:val="both"/>
                  </w:pPr>
                  <w:r>
                    <w:rPr>
                      <w:rFonts w:ascii="仿宋_GB2312" w:hAnsi="仿宋_GB2312" w:cs="仿宋_GB2312" w:eastAsia="仿宋_GB2312"/>
                      <w:sz w:val="21"/>
                    </w:rPr>
                    <w:t>3、△</w:t>
                  </w:r>
                  <w:r>
                    <w:rPr>
                      <w:rFonts w:ascii="仿宋_GB2312" w:hAnsi="仿宋_GB2312" w:cs="仿宋_GB2312" w:eastAsia="仿宋_GB2312"/>
                      <w:sz w:val="21"/>
                    </w:rPr>
                    <w:t>政务外网链路带宽</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w:t>
                  </w:r>
                  <w:r>
                    <w:rPr>
                      <w:rFonts w:ascii="仿宋_GB2312" w:hAnsi="仿宋_GB2312" w:cs="仿宋_GB2312" w:eastAsia="仿宋_GB2312"/>
                      <w:sz w:val="21"/>
                    </w:rPr>
                    <w:t>政务内网链路带宽</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M。</w:t>
                  </w:r>
                </w:p>
                <w:p>
                  <w:pPr>
                    <w:pStyle w:val="null5"/>
                    <w:ind w:firstLine="480"/>
                    <w:jc w:val="both"/>
                  </w:pPr>
                  <w:r>
                    <w:rPr>
                      <w:rFonts w:ascii="仿宋_GB2312" w:hAnsi="仿宋_GB2312" w:cs="仿宋_GB2312" w:eastAsia="仿宋_GB2312"/>
                      <w:sz w:val="21"/>
                    </w:rPr>
                    <w:t>4、△</w:t>
                  </w:r>
                  <w:r>
                    <w:rPr>
                      <w:rFonts w:ascii="仿宋_GB2312" w:hAnsi="仿宋_GB2312" w:cs="仿宋_GB2312" w:eastAsia="仿宋_GB2312"/>
                      <w:sz w:val="21"/>
                    </w:rPr>
                    <w:t>本项目要求</w:t>
                  </w:r>
                  <w:r>
                    <w:rPr>
                      <w:rFonts w:ascii="仿宋_GB2312" w:hAnsi="仿宋_GB2312" w:cs="仿宋_GB2312" w:eastAsia="仿宋_GB2312"/>
                      <w:sz w:val="21"/>
                    </w:rPr>
                    <w:t>采用硬管道传输技术承载的专线，确保跟互联网及其他公开网络隔离。不接受</w:t>
                  </w:r>
                  <w:r>
                    <w:rPr>
                      <w:rFonts w:ascii="仿宋_GB2312" w:hAnsi="仿宋_GB2312" w:cs="仿宋_GB2312" w:eastAsia="仿宋_GB2312"/>
                      <w:sz w:val="21"/>
                    </w:rPr>
                    <w:t>PON/MPLS VPN/IPRAN/PTN 等IP类统计复用、逻辑隔离方式承载。</w:t>
                  </w:r>
                </w:p>
                <w:p>
                  <w:pPr>
                    <w:pStyle w:val="null5"/>
                    <w:ind w:firstLine="48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△共</w:t>
                  </w:r>
                  <w:r>
                    <w:rPr>
                      <w:rFonts w:ascii="仿宋_GB2312" w:hAnsi="仿宋_GB2312" w:cs="仿宋_GB2312" w:eastAsia="仿宋_GB2312"/>
                      <w:sz w:val="21"/>
                    </w:rPr>
                    <w:t>80</w:t>
                  </w:r>
                  <w:r>
                    <w:rPr>
                      <w:rFonts w:ascii="仿宋_GB2312" w:hAnsi="仿宋_GB2312" w:cs="仿宋_GB2312" w:eastAsia="仿宋_GB2312"/>
                      <w:sz w:val="21"/>
                    </w:rPr>
                    <w:t>个节点，政务内网和政务外网传输至土默特左旗行政审批服务与数据管理局机房，完成汇聚后统一通过已有的（旗县－市级）政务外网专线和政务内网专线传输至政务外网和政务内网数据核心。</w:t>
                  </w:r>
                </w:p>
                <w:p>
                  <w:pPr>
                    <w:pStyle w:val="null5"/>
                    <w:ind w:firstLine="48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性能要求：提供的政务网络整体可靠性应不低于</w:t>
                  </w:r>
                  <w:r>
                    <w:rPr>
                      <w:rFonts w:ascii="仿宋_GB2312" w:hAnsi="仿宋_GB2312" w:cs="仿宋_GB2312" w:eastAsia="仿宋_GB2312"/>
                      <w:sz w:val="21"/>
                    </w:rPr>
                    <w:t>99.9%。</w:t>
                  </w:r>
                </w:p>
                <w:p>
                  <w:pPr>
                    <w:pStyle w:val="null5"/>
                    <w:ind w:firstLine="480"/>
                    <w:jc w:val="both"/>
                  </w:pPr>
                  <w:r>
                    <w:rPr>
                      <w:rFonts w:ascii="仿宋_GB2312" w:hAnsi="仿宋_GB2312" w:cs="仿宋_GB2312" w:eastAsia="仿宋_GB2312"/>
                      <w:sz w:val="21"/>
                    </w:rPr>
                    <w:t>7、故障处理要求：处理政务网络发生的各类软硬件等故障，确保政务网络能够正常稳定运行，处理故障响应及时率不小于99.9%，故障修复及时率不小于99.9%；投标人需制定维护管理规定，并按规定制定详细的作业计划并执行，包括但不限于维护项目、维护周期和维护要求等，同时提供7*24小时监控值守服务电话，重大节点强化保障，确保整体稳定正常运行。</w:t>
                  </w:r>
                </w:p>
                <w:p>
                  <w:pPr>
                    <w:pStyle w:val="null5"/>
                    <w:ind w:firstLine="48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△迁移服务要求</w:t>
                  </w:r>
                </w:p>
                <w:p>
                  <w:pPr>
                    <w:pStyle w:val="null5"/>
                    <w:ind w:firstLine="480"/>
                    <w:jc w:val="both"/>
                  </w:pPr>
                  <w:r>
                    <w:rPr>
                      <w:rFonts w:ascii="仿宋_GB2312" w:hAnsi="仿宋_GB2312" w:cs="仿宋_GB2312" w:eastAsia="仿宋_GB2312"/>
                      <w:sz w:val="21"/>
                    </w:rPr>
                    <w:t>投标人在中标后，需要对现有政务网络进行整体业务迁移。投标人在保障业务连续性及数据安全的前提下，对现有政务内外网专线进行整体迁移或优化，投标人需要制定完善的迁移实施方案及规范，对原政务网络进行迁移及割接工作。</w:t>
                  </w:r>
                </w:p>
                <w:p>
                  <w:pPr>
                    <w:pStyle w:val="null5"/>
                    <w:ind w:firstLine="480"/>
                    <w:jc w:val="both"/>
                  </w:pPr>
                  <w:r>
                    <w:rPr>
                      <w:rFonts w:ascii="仿宋_GB2312" w:hAnsi="仿宋_GB2312" w:cs="仿宋_GB2312" w:eastAsia="仿宋_GB2312"/>
                      <w:sz w:val="21"/>
                    </w:rPr>
                    <w:t>投标人需要依据现有政务网络架构进行提前组网，从而达到无缝迁移。投标人须提前针对迁移的网络进行充分调研，制定详细的迁移方案，通过专家论证并获得采购人的书面认可后，方可迁移。投标人及其参与迁移的工作人员需要签订保密协议。</w:t>
                  </w:r>
                </w:p>
                <w:p>
                  <w:pPr>
                    <w:pStyle w:val="null5"/>
                    <w:ind w:firstLine="480"/>
                    <w:jc w:val="both"/>
                  </w:pPr>
                  <w:r>
                    <w:rPr>
                      <w:rFonts w:ascii="仿宋_GB2312" w:hAnsi="仿宋_GB2312" w:cs="仿宋_GB2312" w:eastAsia="仿宋_GB2312"/>
                      <w:sz w:val="21"/>
                    </w:rPr>
                    <w:t>★投标人需要在合同签订后30日内完成全部设备部署、线路迁移、测试、验收工作，其中至少包含1周测试期，因投标人未完成上述工作，造成上一期服务商服务延期带来的费用由投标人承担。</w:t>
                  </w:r>
                </w:p>
                <w:p>
                  <w:pPr>
                    <w:pStyle w:val="null5"/>
                    <w:ind w:firstLine="480"/>
                    <w:jc w:val="both"/>
                  </w:pPr>
                  <w:r>
                    <w:rPr>
                      <w:rFonts w:ascii="仿宋_GB2312" w:hAnsi="仿宋_GB2312" w:cs="仿宋_GB2312" w:eastAsia="仿宋_GB2312"/>
                      <w:sz w:val="21"/>
                    </w:rPr>
                    <w:t>测试、验收包括但不限于如下内容：</w:t>
                  </w:r>
                </w:p>
                <w:p>
                  <w:pPr>
                    <w:pStyle w:val="null5"/>
                    <w:ind w:firstLine="480"/>
                    <w:jc w:val="both"/>
                  </w:pPr>
                  <w:r>
                    <w:rPr>
                      <w:rFonts w:ascii="仿宋_GB2312" w:hAnsi="仿宋_GB2312" w:cs="仿宋_GB2312" w:eastAsia="仿宋_GB2312"/>
                      <w:sz w:val="21"/>
                    </w:rPr>
                    <w:t>（</w:t>
                  </w:r>
                  <w:r>
                    <w:rPr>
                      <w:rFonts w:ascii="仿宋_GB2312" w:hAnsi="仿宋_GB2312" w:cs="仿宋_GB2312" w:eastAsia="仿宋_GB2312"/>
                      <w:sz w:val="21"/>
                    </w:rPr>
                    <w:t>1）、网络基本参数设置：根据本地电子政务外网使用地址段，设置正确的IP地址、划分VLAN等。</w:t>
                  </w:r>
                </w:p>
                <w:p>
                  <w:pPr>
                    <w:pStyle w:val="null5"/>
                    <w:ind w:firstLine="480"/>
                    <w:jc w:val="both"/>
                  </w:pPr>
                  <w:r>
                    <w:rPr>
                      <w:rFonts w:ascii="仿宋_GB2312" w:hAnsi="仿宋_GB2312" w:cs="仿宋_GB2312" w:eastAsia="仿宋_GB2312"/>
                      <w:sz w:val="21"/>
                    </w:rPr>
                    <w:t>（</w:t>
                  </w:r>
                  <w:r>
                    <w:rPr>
                      <w:rFonts w:ascii="仿宋_GB2312" w:hAnsi="仿宋_GB2312" w:cs="仿宋_GB2312" w:eastAsia="仿宋_GB2312"/>
                      <w:sz w:val="21"/>
                    </w:rPr>
                    <w:t>2）、网络访问测试：配置完成后，打开网页浏览器，输入特定网址，检查网络连接和域名解析是否正常。</w:t>
                  </w:r>
                </w:p>
                <w:p>
                  <w:pPr>
                    <w:pStyle w:val="null5"/>
                    <w:ind w:firstLine="480"/>
                    <w:jc w:val="both"/>
                  </w:pPr>
                  <w:r>
                    <w:rPr>
                      <w:rFonts w:ascii="仿宋_GB2312" w:hAnsi="仿宋_GB2312" w:cs="仿宋_GB2312" w:eastAsia="仿宋_GB2312"/>
                      <w:sz w:val="21"/>
                    </w:rPr>
                    <w:t>（</w:t>
                  </w:r>
                  <w:r>
                    <w:rPr>
                      <w:rFonts w:ascii="仿宋_GB2312" w:hAnsi="仿宋_GB2312" w:cs="仿宋_GB2312" w:eastAsia="仿宋_GB2312"/>
                      <w:sz w:val="21"/>
                    </w:rPr>
                    <w:t>3）、故障检测流程：检测本机网卡设置、网线、网络参数配置是否正常，检测本机与本地局域网网关通信是否正常，检测本地局域网与网管中心通讯是否正常。</w:t>
                  </w:r>
                </w:p>
                <w:p>
                  <w:pPr>
                    <w:pStyle w:val="null5"/>
                    <w:ind w:firstLine="480"/>
                    <w:jc w:val="both"/>
                  </w:pPr>
                  <w:r>
                    <w:rPr>
                      <w:rFonts w:ascii="仿宋_GB2312" w:hAnsi="仿宋_GB2312" w:cs="仿宋_GB2312" w:eastAsia="仿宋_GB2312"/>
                      <w:sz w:val="21"/>
                    </w:rPr>
                    <w:t>★网络迁移过程中出现用户反馈且经过核实的政务网络重大故障（重大故障是指网络服务中断或网络无法访问超过2小时），按照委办局数量计算，每导致一个委办局链路中断，扣除年度数据链路投标总报价的5%，累计影响超过10个委办局日常办公，扣除年度数据链路服务费并承担由此产生的相关责任及损失。</w:t>
                  </w:r>
                </w:p>
                <w:p>
                  <w:pPr>
                    <w:pStyle w:val="null5"/>
                    <w:ind w:firstLine="480"/>
                    <w:jc w:val="both"/>
                  </w:pPr>
                  <w:r>
                    <w:rPr>
                      <w:rFonts w:ascii="仿宋_GB2312" w:hAnsi="仿宋_GB2312" w:cs="仿宋_GB2312" w:eastAsia="仿宋_GB2312"/>
                      <w:sz w:val="21"/>
                    </w:rPr>
                    <w:t>迁移过程中，由于迁移方案不合理、迁移实施不规范，造成安全问题的，如网络受到攻击篡改，病毒感染，数据丢失泄漏事故等，由迁移方（投标人）承担由此产生的责任及损失。</w:t>
                  </w:r>
                </w:p>
                <w:p>
                  <w:pPr>
                    <w:pStyle w:val="null5"/>
                    <w:ind w:firstLine="480"/>
                    <w:jc w:val="both"/>
                  </w:pPr>
                  <w:r>
                    <w:rPr>
                      <w:rFonts w:ascii="仿宋_GB2312" w:hAnsi="仿宋_GB2312" w:cs="仿宋_GB2312" w:eastAsia="仿宋_GB2312"/>
                      <w:sz w:val="21"/>
                    </w:rPr>
                    <w:t>对于以上内容投标人需要提供迁移承诺书。</w:t>
                  </w:r>
                </w:p>
                <w:p>
                  <w:pPr>
                    <w:pStyle w:val="null5"/>
                    <w:ind w:firstLine="480"/>
                    <w:jc w:val="both"/>
                  </w:pPr>
                  <w:r>
                    <w:rPr>
                      <w:rFonts w:ascii="仿宋_GB2312" w:hAnsi="仿宋_GB2312" w:cs="仿宋_GB2312" w:eastAsia="仿宋_GB2312"/>
                      <w:sz w:val="21"/>
                    </w:rPr>
                    <w:t>9、运维要求：实施项目完毕后，投标人需实行7×24小时运行维护和响应故障工作，负责政务网络运维，指派专职接口人，负责政务网络的故障受理、处理、跟踪、结果汇报工作。配置专业技术团队提供运维服务，确保政务网络稳定高效运转，确保政务网络的信息系统安全。</w:t>
                  </w:r>
                </w:p>
                <w:p>
                  <w:pPr>
                    <w:pStyle w:val="null5"/>
                    <w:ind w:firstLine="480"/>
                    <w:jc w:val="both"/>
                  </w:pPr>
                  <w:r>
                    <w:rPr>
                      <w:rFonts w:ascii="仿宋_GB2312" w:hAnsi="仿宋_GB2312" w:cs="仿宋_GB2312" w:eastAsia="仿宋_GB2312"/>
                      <w:sz w:val="21"/>
                    </w:rPr>
                    <w:t>（</w:t>
                  </w:r>
                  <w:r>
                    <w:rPr>
                      <w:rFonts w:ascii="仿宋_GB2312" w:hAnsi="仿宋_GB2312" w:cs="仿宋_GB2312" w:eastAsia="仿宋_GB2312"/>
                      <w:sz w:val="21"/>
                    </w:rPr>
                    <w:t>1）电话支持服务</w:t>
                  </w:r>
                </w:p>
                <w:p>
                  <w:pPr>
                    <w:pStyle w:val="null5"/>
                    <w:ind w:firstLine="480"/>
                    <w:jc w:val="both"/>
                  </w:pPr>
                  <w:r>
                    <w:rPr>
                      <w:rFonts w:ascii="仿宋_GB2312" w:hAnsi="仿宋_GB2312" w:cs="仿宋_GB2312" w:eastAsia="仿宋_GB2312"/>
                      <w:sz w:val="21"/>
                    </w:rPr>
                    <w:t>提供</w:t>
                  </w:r>
                  <w:r>
                    <w:rPr>
                      <w:rFonts w:ascii="仿宋_GB2312" w:hAnsi="仿宋_GB2312" w:cs="仿宋_GB2312" w:eastAsia="仿宋_GB2312"/>
                      <w:sz w:val="21"/>
                    </w:rPr>
                    <w:t>7*24小时不间断的电话支持服务，对应用系统的维护及时进行响应，提供的IT服务支持电话语言要求必须符合政府部门的相关标准。</w:t>
                  </w:r>
                </w:p>
                <w:p>
                  <w:pPr>
                    <w:pStyle w:val="null5"/>
                    <w:ind w:firstLine="480"/>
                    <w:jc w:val="both"/>
                  </w:pPr>
                  <w:r>
                    <w:rPr>
                      <w:rFonts w:ascii="仿宋_GB2312" w:hAnsi="仿宋_GB2312" w:cs="仿宋_GB2312" w:eastAsia="仿宋_GB2312"/>
                      <w:sz w:val="21"/>
                    </w:rPr>
                    <w:t>提供服务呼叫（包括电话、邮件、</w:t>
                  </w:r>
                  <w:r>
                    <w:rPr>
                      <w:rFonts w:ascii="仿宋_GB2312" w:hAnsi="仿宋_GB2312" w:cs="仿宋_GB2312" w:eastAsia="仿宋_GB2312"/>
                      <w:sz w:val="21"/>
                    </w:rPr>
                    <w:t>W E B 信箱、传真等）的接收、记录、分类和优先级排序；协调二线服务工程师解决上升的突发事件；提供电话完成服务回访工作，并对回访工作进行工单跟踪处理。</w:t>
                  </w:r>
                </w:p>
                <w:p>
                  <w:pPr>
                    <w:pStyle w:val="null5"/>
                    <w:ind w:firstLine="480"/>
                    <w:jc w:val="both"/>
                  </w:pPr>
                  <w:r>
                    <w:rPr>
                      <w:rFonts w:ascii="仿宋_GB2312" w:hAnsi="仿宋_GB2312" w:cs="仿宋_GB2312" w:eastAsia="仿宋_GB2312"/>
                      <w:sz w:val="21"/>
                    </w:rPr>
                    <w:t>（</w:t>
                  </w:r>
                  <w:r>
                    <w:rPr>
                      <w:rFonts w:ascii="仿宋_GB2312" w:hAnsi="仿宋_GB2312" w:cs="仿宋_GB2312" w:eastAsia="仿宋_GB2312"/>
                      <w:sz w:val="21"/>
                    </w:rPr>
                    <w:t>2）现场支持服务</w:t>
                  </w:r>
                </w:p>
                <w:p>
                  <w:pPr>
                    <w:pStyle w:val="null5"/>
                    <w:ind w:firstLine="480"/>
                    <w:jc w:val="both"/>
                  </w:pPr>
                  <w:r>
                    <w:rPr>
                      <w:rFonts w:ascii="仿宋_GB2312" w:hAnsi="仿宋_GB2312" w:cs="仿宋_GB2312" w:eastAsia="仿宋_GB2312"/>
                      <w:sz w:val="21"/>
                    </w:rPr>
                    <w:t>提供</w:t>
                  </w:r>
                  <w:r>
                    <w:rPr>
                      <w:rFonts w:ascii="仿宋_GB2312" w:hAnsi="仿宋_GB2312" w:cs="仿宋_GB2312" w:eastAsia="仿宋_GB2312"/>
                      <w:sz w:val="21"/>
                    </w:rPr>
                    <w:t>7*24小时现场支持服务，现场响应时间</w:t>
                  </w:r>
                  <w:r>
                    <w:rPr>
                      <w:rFonts w:ascii="仿宋_GB2312" w:hAnsi="仿宋_GB2312" w:cs="仿宋_GB2312" w:eastAsia="仿宋_GB2312"/>
                      <w:sz w:val="21"/>
                    </w:rPr>
                    <w:t>≤</w:t>
                  </w:r>
                  <w:r>
                    <w:rPr>
                      <w:rFonts w:ascii="仿宋_GB2312" w:hAnsi="仿宋_GB2312" w:cs="仿宋_GB2312" w:eastAsia="仿宋_GB2312"/>
                      <w:sz w:val="21"/>
                    </w:rPr>
                    <w:t>2小时，如遇紧急突发事件或重大的安全事件， 现场响应时间</w:t>
                  </w:r>
                  <w:r>
                    <w:rPr>
                      <w:rFonts w:ascii="仿宋_GB2312" w:hAnsi="仿宋_GB2312" w:cs="仿宋_GB2312" w:eastAsia="仿宋_GB2312"/>
                      <w:sz w:val="21"/>
                    </w:rPr>
                    <w:t>≤</w:t>
                  </w:r>
                  <w:r>
                    <w:rPr>
                      <w:rFonts w:ascii="仿宋_GB2312" w:hAnsi="仿宋_GB2312" w:cs="仿宋_GB2312" w:eastAsia="仿宋_GB2312"/>
                      <w:sz w:val="21"/>
                    </w:rPr>
                    <w:t>30分钟 。根据故障级别及响应要求，分派工程师现场处理服务请求或故障排查，以及 应用系统的版本变更、配置更改等技术支持工作。</w:t>
                  </w:r>
                </w:p>
                <w:p>
                  <w:pPr>
                    <w:pStyle w:val="null5"/>
                    <w:ind w:firstLine="480"/>
                    <w:jc w:val="both"/>
                  </w:pPr>
                  <w:r>
                    <w:rPr>
                      <w:rFonts w:ascii="仿宋_GB2312" w:hAnsi="仿宋_GB2312" w:cs="仿宋_GB2312" w:eastAsia="仿宋_GB2312"/>
                      <w:sz w:val="21"/>
                    </w:rPr>
                    <w:t>（</w:t>
                  </w:r>
                  <w:r>
                    <w:rPr>
                      <w:rFonts w:ascii="仿宋_GB2312" w:hAnsi="仿宋_GB2312" w:cs="仿宋_GB2312" w:eastAsia="仿宋_GB2312"/>
                      <w:sz w:val="21"/>
                    </w:rPr>
                    <w:t>3）例行巡检服务</w:t>
                  </w:r>
                </w:p>
                <w:p>
                  <w:pPr>
                    <w:pStyle w:val="null5"/>
                    <w:ind w:firstLine="480"/>
                    <w:jc w:val="both"/>
                  </w:pPr>
                  <w:r>
                    <w:rPr>
                      <w:rFonts w:ascii="仿宋_GB2312" w:hAnsi="仿宋_GB2312" w:cs="仿宋_GB2312" w:eastAsia="仿宋_GB2312"/>
                      <w:sz w:val="21"/>
                    </w:rPr>
                    <w:t>提供每个月</w:t>
                  </w:r>
                  <w:r>
                    <w:rPr>
                      <w:rFonts w:ascii="仿宋_GB2312" w:hAnsi="仿宋_GB2312" w:cs="仿宋_GB2312" w:eastAsia="仿宋_GB2312"/>
                      <w:sz w:val="21"/>
                    </w:rPr>
                    <w:t>1次的系统例行检查服务，根据系统运行状况提供例检报告，参与每个月的服务回顾会议 , 并对例检发现的问题进行跟踪处理，确保各项设备服务的正常稳定运行，可以运维月报的形式体现。</w:t>
                  </w:r>
                </w:p>
                <w:p>
                  <w:pPr>
                    <w:pStyle w:val="null5"/>
                    <w:ind w:firstLine="480"/>
                    <w:jc w:val="both"/>
                  </w:pPr>
                  <w:r>
                    <w:rPr>
                      <w:rFonts w:ascii="仿宋_GB2312" w:hAnsi="仿宋_GB2312" w:cs="仿宋_GB2312" w:eastAsia="仿宋_GB2312"/>
                      <w:sz w:val="21"/>
                    </w:rPr>
                    <w:t>（</w:t>
                  </w:r>
                  <w:r>
                    <w:rPr>
                      <w:rFonts w:ascii="仿宋_GB2312" w:hAnsi="仿宋_GB2312" w:cs="仿宋_GB2312" w:eastAsia="仿宋_GB2312"/>
                      <w:sz w:val="21"/>
                    </w:rPr>
                    <w:t>4）远程维护服务</w:t>
                  </w:r>
                </w:p>
                <w:p>
                  <w:pPr>
                    <w:pStyle w:val="null5"/>
                    <w:ind w:firstLine="480"/>
                    <w:jc w:val="both"/>
                  </w:pPr>
                  <w:r>
                    <w:rPr>
                      <w:rFonts w:ascii="仿宋_GB2312" w:hAnsi="仿宋_GB2312" w:cs="仿宋_GB2312" w:eastAsia="仿宋_GB2312"/>
                      <w:sz w:val="21"/>
                    </w:rPr>
                    <w:t>可根据故障情况提供远程直接维护服务，针对性服务方式，可以避免由于交通等原因造成的服务响应不及时，同时可以提供相应的故障远程排查服务以及相关系统的变更、配置管理支持等，在远程接入条件满足下，连通时间为</w:t>
                  </w:r>
                  <w:r>
                    <w:rPr>
                      <w:rFonts w:ascii="仿宋_GB2312" w:hAnsi="仿宋_GB2312" w:cs="仿宋_GB2312" w:eastAsia="仿宋_GB2312"/>
                      <w:sz w:val="21"/>
                    </w:rPr>
                    <w:t>15分钟内。</w:t>
                  </w:r>
                </w:p>
                <w:p>
                  <w:pPr>
                    <w:pStyle w:val="null5"/>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1"/>
                    </w:rPr>
                    <w:t>业务连续性和信息安全要求：由于土默特左旗政务网络节点数量多、数据实时性高，同时，鉴于土默特左旗电子政务网络承载的政务云业务数量多、资源量大、重要性高，投标人为本项目提供政务网络服务前，要充分进行风险评估。实施期间确保土默特左旗电子政务外网用户和互联网用户能够正常访问政务云服务。确保土默特左旗政务网络和政务云业务的可用性、连续性和安全性，避免出现因上下架、安装、搬迁等施工工作，影响政务云平台、政务网络的正常，影响运行政务服务系统数据的完整性和信息安全。本项目所有产品必须满足国家安全管理相关要求。</w:t>
                  </w:r>
                </w:p>
                <w:p>
                  <w:pPr>
                    <w:pStyle w:val="null5"/>
                    <w:ind w:firstLine="480"/>
                    <w:jc w:val="both"/>
                  </w:pPr>
                  <w:r>
                    <w:rPr>
                      <w:rFonts w:ascii="仿宋_GB2312" w:hAnsi="仿宋_GB2312" w:cs="仿宋_GB2312" w:eastAsia="仿宋_GB2312"/>
                      <w:sz w:val="21"/>
                    </w:rPr>
                    <w:t>11、保密要求</w:t>
                  </w:r>
                  <w:r>
                    <w:rPr>
                      <w:rFonts w:ascii="仿宋_GB2312" w:hAnsi="仿宋_GB2312" w:cs="仿宋_GB2312" w:eastAsia="仿宋_GB2312"/>
                      <w:sz w:val="21"/>
                    </w:rPr>
                    <w:t>：</w:t>
                  </w:r>
                </w:p>
                <w:p>
                  <w:pPr>
                    <w:pStyle w:val="null5"/>
                    <w:ind w:firstLine="480"/>
                    <w:jc w:val="both"/>
                  </w:pPr>
                  <w:r>
                    <w:rPr>
                      <w:rFonts w:ascii="仿宋_GB2312" w:hAnsi="仿宋_GB2312" w:cs="仿宋_GB2312" w:eastAsia="仿宋_GB2312"/>
                      <w:sz w:val="21"/>
                    </w:rPr>
                    <w:t>(1)服务团队工作人员不得将掌握的采购人设备信息未经采购人许可泄露给其他人知道。</w:t>
                  </w:r>
                </w:p>
                <w:p>
                  <w:pPr>
                    <w:pStyle w:val="null5"/>
                    <w:ind w:firstLine="480"/>
                    <w:jc w:val="both"/>
                  </w:pPr>
                  <w:r>
                    <w:rPr>
                      <w:rFonts w:ascii="仿宋_GB2312" w:hAnsi="仿宋_GB2312" w:cs="仿宋_GB2312" w:eastAsia="仿宋_GB2312"/>
                      <w:sz w:val="21"/>
                    </w:rPr>
                    <w:t>(2)服务团队工作人员任何时候不得私自打开机房内采购人设备。</w:t>
                  </w:r>
                </w:p>
                <w:p>
                  <w:pPr>
                    <w:pStyle w:val="null5"/>
                    <w:ind w:firstLine="480"/>
                    <w:jc w:val="both"/>
                  </w:pPr>
                  <w:r>
                    <w:rPr>
                      <w:rFonts w:ascii="仿宋_GB2312" w:hAnsi="仿宋_GB2312" w:cs="仿宋_GB2312" w:eastAsia="仿宋_GB2312"/>
                      <w:sz w:val="21"/>
                    </w:rPr>
                    <w:t>(3)服务团队工作人员任何时候不得私自拷贝、更改、删除采购人服务器数据。</w:t>
                  </w:r>
                </w:p>
                <w:p>
                  <w:pPr>
                    <w:pStyle w:val="null5"/>
                    <w:ind w:firstLine="480"/>
                    <w:jc w:val="both"/>
                  </w:pPr>
                  <w:r>
                    <w:rPr>
                      <w:rFonts w:ascii="仿宋_GB2312" w:hAnsi="仿宋_GB2312" w:cs="仿宋_GB2312" w:eastAsia="仿宋_GB2312"/>
                      <w:sz w:val="21"/>
                    </w:rPr>
                    <w:t>(4)非工作需要，运维人员不得掌握非工作范围内设备的口令。</w:t>
                  </w:r>
                </w:p>
                <w:p>
                  <w:pPr>
                    <w:pStyle w:val="null5"/>
                    <w:ind w:firstLine="480"/>
                    <w:jc w:val="both"/>
                  </w:pPr>
                  <w:r>
                    <w:rPr>
                      <w:rFonts w:ascii="仿宋_GB2312" w:hAnsi="仿宋_GB2312" w:cs="仿宋_GB2312" w:eastAsia="仿宋_GB2312"/>
                      <w:sz w:val="21"/>
                    </w:rPr>
                    <w:t>(5)服务团队工作人员需签订服务保密协议。</w:t>
                  </w:r>
                </w:p>
                <w:p>
                  <w:pPr>
                    <w:pStyle w:val="null5"/>
                    <w:ind w:firstLine="480"/>
                    <w:jc w:val="both"/>
                  </w:pPr>
                  <w:r>
                    <w:rPr>
                      <w:rFonts w:ascii="仿宋_GB2312" w:hAnsi="仿宋_GB2312" w:cs="仿宋_GB2312" w:eastAsia="仿宋_GB2312"/>
                      <w:sz w:val="21"/>
                    </w:rPr>
                    <w:t>(6)服务团队工作人员需遵守国家有关的政策、法律、法规和制度。</w:t>
                  </w:r>
                </w:p>
                <w:p>
                  <w:pPr>
                    <w:pStyle w:val="null5"/>
                    <w:ind w:firstLine="480"/>
                    <w:jc w:val="both"/>
                  </w:pPr>
                  <w:r>
                    <w:rPr>
                      <w:rFonts w:ascii="仿宋_GB2312" w:hAnsi="仿宋_GB2312" w:cs="仿宋_GB2312" w:eastAsia="仿宋_GB2312"/>
                      <w:sz w:val="21"/>
                    </w:rPr>
                    <w:t>(7)服务团队工作人员需要按照工作规范进行工作，凡接收到的重大服务请求，需要经用户同意才做处理。</w:t>
                  </w:r>
                </w:p>
                <w:p>
                  <w:pPr>
                    <w:pStyle w:val="null5"/>
                    <w:ind w:firstLine="480"/>
                    <w:jc w:val="both"/>
                  </w:pPr>
                  <w:r>
                    <w:rPr>
                      <w:rFonts w:ascii="仿宋_GB2312" w:hAnsi="仿宋_GB2312" w:cs="仿宋_GB2312" w:eastAsia="仿宋_GB2312"/>
                      <w:sz w:val="21"/>
                    </w:rPr>
                    <w:t>(8)服务团队工作人员不得向外泄漏任何业务和相关数据。</w:t>
                  </w:r>
                </w:p>
                <w:p>
                  <w:pPr>
                    <w:pStyle w:val="null5"/>
                    <w:ind w:firstLine="480"/>
                    <w:jc w:val="both"/>
                  </w:pPr>
                  <w:r>
                    <w:rPr>
                      <w:rFonts w:ascii="仿宋_GB2312" w:hAnsi="仿宋_GB2312" w:cs="仿宋_GB2312" w:eastAsia="仿宋_GB2312"/>
                      <w:sz w:val="21"/>
                    </w:rPr>
                    <w:t>(9)服务团队工作人员不得向外泄漏任何保密的资料。</w:t>
                  </w:r>
                </w:p>
                <w:p>
                  <w:pPr>
                    <w:pStyle w:val="null5"/>
                    <w:ind w:firstLine="480"/>
                    <w:jc w:val="both"/>
                  </w:pPr>
                  <w:r>
                    <w:rPr>
                      <w:rFonts w:ascii="仿宋_GB2312" w:hAnsi="仿宋_GB2312" w:cs="仿宋_GB2312" w:eastAsia="仿宋_GB2312"/>
                      <w:sz w:val="21"/>
                    </w:rPr>
                    <w:t>12、提供对应网络传输设备、传输通道</w:t>
                  </w:r>
                  <w:r>
                    <w:rPr>
                      <w:rFonts w:ascii="仿宋_GB2312" w:hAnsi="仿宋_GB2312" w:cs="仿宋_GB2312" w:eastAsia="仿宋_GB2312"/>
                      <w:sz w:val="21"/>
                    </w:rPr>
                    <w:t>、相关业务落地的网关设备、光电转换设备，不包含各单位入户连接组网的设备。</w:t>
                  </w:r>
                </w:p>
                <w:p>
                  <w:pPr>
                    <w:pStyle w:val="null5"/>
                    <w:ind w:firstLine="480"/>
                    <w:jc w:val="both"/>
                  </w:pPr>
                  <w:r>
                    <w:rPr>
                      <w:rFonts w:ascii="仿宋_GB2312" w:hAnsi="仿宋_GB2312" w:cs="仿宋_GB2312" w:eastAsia="仿宋_GB2312"/>
                      <w:sz w:val="21"/>
                    </w:rPr>
                    <w:t>13</w:t>
                  </w:r>
                  <w:r>
                    <w:rPr>
                      <w:rFonts w:ascii="仿宋_GB2312" w:hAnsi="仿宋_GB2312" w:cs="仿宋_GB2312" w:eastAsia="仿宋_GB2312"/>
                      <w:sz w:val="21"/>
                    </w:rPr>
                    <w:t>、本项目自合同签订之日起，</w:t>
                  </w:r>
                  <w:r>
                    <w:rPr>
                      <w:rFonts w:ascii="仿宋_GB2312" w:hAnsi="仿宋_GB2312" w:cs="仿宋_GB2312" w:eastAsia="仿宋_GB2312"/>
                      <w:sz w:val="21"/>
                    </w:rPr>
                    <w:t>30</w:t>
                  </w:r>
                  <w:r>
                    <w:rPr>
                      <w:rFonts w:ascii="仿宋_GB2312" w:hAnsi="仿宋_GB2312" w:cs="仿宋_GB2312" w:eastAsia="仿宋_GB2312"/>
                      <w:sz w:val="21"/>
                    </w:rPr>
                    <w:t>日内完成本项目建设，需提供施工周期承诺函并加盖公章以及施工周期进度规划表如未能在合同约定时间内完成项目建设则视为违约。</w:t>
                  </w:r>
                </w:p>
                <w:p>
                  <w:pPr>
                    <w:pStyle w:val="null5"/>
                    <w:ind w:firstLine="480"/>
                    <w:jc w:val="both"/>
                  </w:pPr>
                  <w:r>
                    <w:rPr>
                      <w:rFonts w:ascii="仿宋_GB2312" w:hAnsi="仿宋_GB2312" w:cs="仿宋_GB2312" w:eastAsia="仿宋_GB2312"/>
                      <w:sz w:val="21"/>
                    </w:rPr>
                    <w:t>14、服务产品技术要求：</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1）政务外网专线100M专线80条，要求上下行速率不小于100M，政务内网专线4M专线80条，要求上下行速率不小于4M，网络可用率≥99.99%；故障响应时间≤15分钟，故障处理时限≤4小时</w:t>
                  </w:r>
                  <w:r>
                    <w:rPr>
                      <w:rFonts w:ascii="仿宋_GB2312" w:hAnsi="仿宋_GB2312" w:cs="仿宋_GB2312" w:eastAsia="仿宋_GB2312"/>
                      <w:sz w:val="21"/>
                    </w:rPr>
                    <w:t>；</w:t>
                  </w:r>
                </w:p>
                <w:p>
                  <w:pPr>
                    <w:pStyle w:val="null5"/>
                    <w:ind w:firstLine="480"/>
                    <w:jc w:val="both"/>
                  </w:pPr>
                  <w:r>
                    <w:rPr>
                      <w:rFonts w:ascii="仿宋_GB2312" w:hAnsi="仿宋_GB2312" w:cs="仿宋_GB2312" w:eastAsia="仿宋_GB2312"/>
                      <w:sz w:val="21"/>
                    </w:rPr>
                    <w:t>（</w:t>
                  </w:r>
                  <w:r>
                    <w:rPr>
                      <w:rFonts w:ascii="仿宋_GB2312" w:hAnsi="仿宋_GB2312" w:cs="仿宋_GB2312" w:eastAsia="仿宋_GB2312"/>
                      <w:sz w:val="21"/>
                    </w:rPr>
                    <w:t>2）提供80台三层接入设备，配置要求：24个1000BASE-T以太网端口，4个SFP+光口，交流电源；支持IPV4/IPV6双栈协议，支持IPV4/IPV6静态路由以及RIP等功能。</w:t>
                  </w:r>
                </w:p>
                <w:p>
                  <w:pPr>
                    <w:pStyle w:val="null5"/>
                    <w:jc w:val="center"/>
                  </w:pPr>
                  <w:r>
                    <w:rPr>
                      <w:rFonts w:ascii="仿宋_GB2312" w:hAnsi="仿宋_GB2312" w:cs="仿宋_GB2312" w:eastAsia="仿宋_GB2312"/>
                      <w:sz w:val="21"/>
                    </w:rPr>
                    <w:t>土默特左旗行政审批服务与数据管理局采购政务网络接入单位明细</w:t>
                  </w:r>
                </w:p>
                <w:tbl>
                  <w:tblPr>
                    <w:tblBorders>
                      <w:top w:val="none" w:color="000000" w:sz="4"/>
                      <w:left w:val="none" w:color="000000" w:sz="4"/>
                      <w:bottom w:val="none" w:color="000000" w:sz="4"/>
                      <w:right w:val="none" w:color="000000" w:sz="4"/>
                      <w:insideH w:val="none"/>
                      <w:insideV w:val="none"/>
                    </w:tblBorders>
                  </w:tblPr>
                  <w:tblGrid>
                    <w:gridCol w:w="185"/>
                    <w:gridCol w:w="1191"/>
                    <w:gridCol w:w="202"/>
                    <w:gridCol w:w="202"/>
                    <w:gridCol w:w="160"/>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序号</w:t>
                        </w:r>
                      </w:p>
                    </w:tc>
                    <w:tc>
                      <w:tcPr>
                        <w:tcW w:type="dxa" w:w="1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接入单位名称</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政务内网速率</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政务外网速率</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土默特左旗人民政府</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土默特左旗察素齐镇党群服务服务中心（把什）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土默特左旗察素齐镇社区服务中心（奥拉）</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呼和浩特市生态环境保护局土左分局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原金山管委会办公楼</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6</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土默特左旗敕勒川乳业大厦</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7</w:t>
                        </w:r>
                      </w:p>
                    </w:tc>
                    <w:tc>
                      <w:tcPr>
                        <w:tcW w:type="dxa" w:w="1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内蒙古国家税务总局（一）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8</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内蒙古国家税务总局（二）</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9</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旗总工会</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10</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土默特左旗察素齐镇人民政府</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土默特左旗沙尔沁镇人民政府</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土默特左旗善岱镇人民政府</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土默特左旗塔布赛乡人民政府</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土默特左旗台阁牧镇人民政府</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15</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土默特左旗毕克齐镇人民政府</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16</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土默特左旗敕勒川镇人民政府</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17</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土默特左旗敕勒川镇人民政府（北楼）</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18</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土默特左旗汇金区域服务中心</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19</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土默特左旗金海区域服务中心</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20</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土默特左旗金浩区域服务中心</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土默特左旗财政局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土默特左旗残联</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土默特左旗城发投资经营有限责任公司</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土默特左旗城市综合执法大队</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25</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土默特左旗档案局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26</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土默特左旗公安局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27</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土默特左旗交警大队</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28</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土默特左旗交通运输管理局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29</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土默特左旗交通综合执法大队（运管局）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30</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土默特左旗教育局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土默特左旗粮食局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土默特左旗林业和草原局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土默特左旗民政局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土默特左旗农业局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35</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土默特左旗气象局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36</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土默特左旗人社局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37</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土默特左旗人民法院</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38</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土默特左旗人民检察院</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39</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中国共产党土默特左旗委员会纪律检查委员会纪检监察委员会机关</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40</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土默特左旗审计局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土默特左旗市场监督管理局（中山路所）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土默特左旗市场监督管理局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土默特左旗水务局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土默特左旗投资项目促进中心</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45</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土默特左旗哈素海管理局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46</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土默特左旗原铁帽办公楼移到土默特左旗善岱镇退役军人</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47</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土默特左旗原沙尔营办公楼</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48</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土默特左旗退役军人事务局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49</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土默特左旗卫生健康委员会</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50</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土默特左旗消防大队</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土默特左旗消防大队（金川五一路）</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土默特左旗烟草局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土默特左旗医疗保障局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土默特左旗政务和审批局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55</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土默特左旗政务和审批局（金川）</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56</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土默特左旗工信和科技局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57</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土默特左旗金土地社区服务中心</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58</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土默特左旗乌兰社区服务中心</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59</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土默特左旗怡雅社区服务中心</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60</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土默特左旗自然资源局</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4M</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bl>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专项资格要求</w:t>
            </w:r>
          </w:p>
        </w:tc>
        <w:tc>
          <w:tcPr>
            <w:tcW w:type="dxa" w:w="4984"/>
          </w:tcPr>
          <w:p>
            <w:pPr>
              <w:pStyle w:val="null5"/>
              <w:jc w:val="left"/>
            </w:pPr>
            <w:r>
              <w:rPr>
                <w:rFonts w:ascii="仿宋_GB2312" w:hAnsi="仿宋_GB2312" w:cs="仿宋_GB2312" w:eastAsia="仿宋_GB2312"/>
              </w:rPr>
              <w:t>投标人需具有基础电信业务经营许可证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落实政府规定要求</w:t>
            </w:r>
          </w:p>
        </w:tc>
        <w:tc>
          <w:tcPr>
            <w:tcW w:type="dxa" w:w="461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根据招标服务内容及参数要求提供网络带宽等参数，各投标单位可以根据经验，提供符合或高于 标书要求服务内容进行评判。</w:t>
            </w:r>
          </w:p>
        </w:tc>
        <w:tc>
          <w:tcPr>
            <w:tcW w:type="dxa" w:w="3115"/>
          </w:tcPr>
          <w:p>
            <w:pPr>
              <w:pStyle w:val="null5"/>
              <w:jc w:val="left"/>
            </w:pPr>
            <w:r>
              <w:rPr>
                <w:rFonts w:ascii="仿宋_GB2312" w:hAnsi="仿宋_GB2312" w:cs="仿宋_GB2312" w:eastAsia="仿宋_GB2312"/>
              </w:rPr>
              <w:t>1.完全符合服务内容和参数要求，得25—33分； 2.基本满足服务内容和 要求，得17—25（含）分； 3.服务内容和参数要求符合性差，得0-17（含）分。</w:t>
            </w:r>
          </w:p>
        </w:tc>
        <w:tc>
          <w:tcPr>
            <w:tcW w:type="dxa" w:w="1038"/>
          </w:tcPr>
          <w:p>
            <w:pPr>
              <w:pStyle w:val="null5"/>
              <w:jc w:val="right"/>
            </w:pPr>
            <w:r>
              <w:rPr>
                <w:rFonts w:ascii="仿宋_GB2312" w:hAnsi="仿宋_GB2312" w:cs="仿宋_GB2312" w:eastAsia="仿宋_GB2312"/>
              </w:rPr>
              <w:t>33.00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根据投标企业质量保障方面作出评价</w:t>
            </w:r>
          </w:p>
        </w:tc>
        <w:tc>
          <w:tcPr>
            <w:tcW w:type="dxa" w:w="3115"/>
          </w:tcPr>
          <w:p>
            <w:pPr>
              <w:pStyle w:val="null5"/>
              <w:jc w:val="left"/>
            </w:pPr>
            <w:r>
              <w:rPr>
                <w:rFonts w:ascii="仿宋_GB2312" w:hAnsi="仿宋_GB2312" w:cs="仿宋_GB2312" w:eastAsia="仿宋_GB2312"/>
              </w:rPr>
              <w:t>1、方案详细、完善，可实施性强，能够充分保障项目质量，得10—15分 ； 2、方案全面，措施基本可行，可基本保障项目质量，得5—10（含） 分； 3、有质量保障方案，但不全面、措施针对性不强，得0-5（含）分；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根据投标方针对本项目响应的“技术部分△”参数进行评判</w:t>
            </w:r>
          </w:p>
        </w:tc>
        <w:tc>
          <w:tcPr>
            <w:tcW w:type="dxa" w:w="3115"/>
          </w:tcPr>
          <w:p>
            <w:pPr>
              <w:pStyle w:val="null5"/>
              <w:jc w:val="left"/>
            </w:pPr>
            <w:r>
              <w:rPr>
                <w:rFonts w:ascii="仿宋_GB2312" w:hAnsi="仿宋_GB2312" w:cs="仿宋_GB2312" w:eastAsia="仿宋_GB2312"/>
              </w:rPr>
              <w:t>本项目响应的“△”参数共6项 1、完全满足，得12分； 2、每缺一项扣除2 分； 3、不响应，不得分。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根据投标企业服务进度计划是否完备、可行性作出综合评价</w:t>
            </w:r>
          </w:p>
        </w:tc>
        <w:tc>
          <w:tcPr>
            <w:tcW w:type="dxa" w:w="3115"/>
          </w:tcPr>
          <w:p>
            <w:pPr>
              <w:pStyle w:val="null5"/>
              <w:jc w:val="left"/>
            </w:pPr>
            <w:r>
              <w:rPr>
                <w:rFonts w:ascii="仿宋_GB2312" w:hAnsi="仿宋_GB2312" w:cs="仿宋_GB2312" w:eastAsia="仿宋_GB2312"/>
              </w:rPr>
              <w:t>1、方案健全、制度措施针对强确保工期的技术组织措施全面完善、可行，得8～12分； 2、方案健全，具有确保工期的技术组织措施，得4～8（含）分； 3、有进度计划方案，但方案不全面、针对性不强，得0～4（含）分。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根据投标企业售后服务承诺、服务体系等情况作出综合评价</w:t>
            </w:r>
          </w:p>
        </w:tc>
        <w:tc>
          <w:tcPr>
            <w:tcW w:type="dxa" w:w="3115"/>
          </w:tcPr>
          <w:p>
            <w:pPr>
              <w:pStyle w:val="null5"/>
              <w:jc w:val="left"/>
            </w:pPr>
            <w:r>
              <w:rPr>
                <w:rFonts w:ascii="仿宋_GB2312" w:hAnsi="仿宋_GB2312" w:cs="仿宋_GB2312" w:eastAsia="仿宋_GB2312"/>
              </w:rPr>
              <w:t>1、承诺特别详尽且优，并完全提供承诺函，得4-6分； 2、承诺较详尽且良，未完全提供承诺函，得2-4（含）分； 3、承诺一般，未完全提供承诺函，得0-2（含）分； 4、承诺不详尽且差或未提供承诺函，不得分。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项目人员情况</w:t>
            </w:r>
          </w:p>
        </w:tc>
        <w:tc>
          <w:tcPr>
            <w:tcW w:type="dxa" w:w="3115"/>
          </w:tcPr>
          <w:p>
            <w:pPr>
              <w:pStyle w:val="null5"/>
              <w:jc w:val="left"/>
            </w:pPr>
            <w:r>
              <w:rPr>
                <w:rFonts w:ascii="仿宋_GB2312" w:hAnsi="仿宋_GB2312" w:cs="仿宋_GB2312" w:eastAsia="仿宋_GB2312"/>
              </w:rPr>
              <w:t>1.拟派项目负责人具有通信工程专业高级工程师证书的得2分；具有通信工程专业中级工程师证书的得1分。 2.供应商拟派团队人员具有通信工程专业高级工程师证书每提供一名得1分，具有通信工程专业中级工程师证书每提供一名得0.5分，两者累计最多得2分； 注 ：以上人员需提供项目团队人员相关证书扫描件、劳动合同、社保缴纳证明 ，不提供不得分；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同类或类似项目业绩</w:t>
            </w:r>
          </w:p>
        </w:tc>
        <w:tc>
          <w:tcPr>
            <w:tcW w:type="dxa" w:w="3115"/>
          </w:tcPr>
          <w:p>
            <w:pPr>
              <w:pStyle w:val="null5"/>
              <w:jc w:val="left"/>
            </w:pPr>
            <w:r>
              <w:rPr>
                <w:rFonts w:ascii="仿宋_GB2312" w:hAnsi="仿宋_GB2312" w:cs="仿宋_GB2312" w:eastAsia="仿宋_GB2312"/>
              </w:rPr>
              <w:t>2022年1月1日至投标截止之日，每提供一个项目得1.5分，最高得4分，不提供不得分。 注：投标文件中需附中标通知书或合同为准。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根据投标企业整体项目实施时间作出评价</w:t>
            </w:r>
          </w:p>
        </w:tc>
        <w:tc>
          <w:tcPr>
            <w:tcW w:type="dxa" w:w="3115"/>
          </w:tcPr>
          <w:p>
            <w:pPr>
              <w:pStyle w:val="null5"/>
              <w:jc w:val="left"/>
            </w:pPr>
            <w:r>
              <w:rPr>
                <w:rFonts w:ascii="仿宋_GB2312" w:hAnsi="仿宋_GB2312" w:cs="仿宋_GB2312" w:eastAsia="仿宋_GB2312"/>
              </w:rPr>
              <w:t>1、实施时间小于60天x10%完成整体项目交付的，得2分； 2、实施时间大于60天x10%且小于等于60天完成整体项 目交付的，得1分； 3、实施周期大于或等于60天完成整体项目交付的，不得分。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根据投标企业售后服务故障响应和排除时间情况作出评价</w:t>
            </w:r>
          </w:p>
        </w:tc>
        <w:tc>
          <w:tcPr>
            <w:tcW w:type="dxa" w:w="3115"/>
          </w:tcPr>
          <w:p>
            <w:pPr>
              <w:pStyle w:val="null5"/>
              <w:jc w:val="left"/>
            </w:pPr>
            <w:r>
              <w:rPr>
                <w:rFonts w:ascii="仿宋_GB2312" w:hAnsi="仿宋_GB2312" w:cs="仿宋_GB2312" w:eastAsia="仿宋_GB2312"/>
              </w:rPr>
              <w:t>本项目要求中标人服务期内7*24小时服务，故障响应时间≤15分钟，故障排除时间≤3小时。 1、投标企业能做到低于故障响应和故障排除时间的，得2分； 2、投标企业未能做到低于故障响应和故障排除时间的，不得分；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