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林草湿荒普查</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竞争性磋商文件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土默特左旗林业和草原局</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内蒙古德沐工程项目管理有限公司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150121-NMDMCG-CS-20250001</w:t>
      </w:r>
    </w:p>
    <w:p>
      <w:pPr>
        <w:pStyle w:val="null5"/>
        <w:jc w:val="center"/>
      </w:pPr>
      <w:r>
        <w:rPr>
          <w:rFonts w:ascii="仿宋_GB2312" w:hAnsi="仿宋_GB2312" w:cs="仿宋_GB2312" w:eastAsia="仿宋_GB2312"/>
        </w:rPr>
        <w:t>2025年02月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磋商邀请</w:t>
      </w:r>
    </w:p>
    <w:p>
      <w:pPr>
        <w:pStyle w:val="null5"/>
        <w:ind w:firstLine="480"/>
        <w:jc w:val="left"/>
      </w:pPr>
      <w:r>
        <w:rPr>
          <w:rFonts w:ascii="仿宋_GB2312" w:hAnsi="仿宋_GB2312" w:cs="仿宋_GB2312" w:eastAsia="仿宋_GB2312"/>
        </w:rPr>
        <w:t>第二章 供应商须知</w:t>
      </w:r>
    </w:p>
    <w:p>
      <w:pPr>
        <w:pStyle w:val="null5"/>
        <w:ind w:firstLine="480"/>
        <w:jc w:val="left"/>
      </w:pPr>
      <w:r>
        <w:rPr>
          <w:rFonts w:ascii="仿宋_GB2312" w:hAnsi="仿宋_GB2312" w:cs="仿宋_GB2312" w:eastAsia="仿宋_GB2312"/>
        </w:rPr>
        <w:t>第三章 采购内容与技术要求</w:t>
      </w:r>
    </w:p>
    <w:p>
      <w:pPr>
        <w:pStyle w:val="null5"/>
        <w:ind w:firstLine="480"/>
        <w:jc w:val="left"/>
      </w:pPr>
      <w:r>
        <w:rPr>
          <w:rFonts w:ascii="仿宋_GB2312" w:hAnsi="仿宋_GB2312" w:cs="仿宋_GB2312" w:eastAsia="仿宋_GB2312"/>
        </w:rPr>
        <w:t>第四章 供应商资格证明及相关文件要求</w:t>
      </w:r>
    </w:p>
    <w:p>
      <w:pPr>
        <w:pStyle w:val="null5"/>
        <w:ind w:firstLine="480"/>
        <w:jc w:val="left"/>
      </w:pPr>
      <w:r>
        <w:rPr>
          <w:rFonts w:ascii="仿宋_GB2312" w:hAnsi="仿宋_GB2312" w:cs="仿宋_GB2312" w:eastAsia="仿宋_GB2312"/>
        </w:rPr>
        <w:t>第五章 评审</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响应文件格式与要求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磋商邀请</w:t>
      </w:r>
    </w:p>
    <w:p>
      <w:pPr>
        <w:pStyle w:val="null5"/>
        <w:ind w:firstLine="480"/>
        <w:jc w:val="left"/>
      </w:pPr>
      <w:r>
        <w:rPr>
          <w:rFonts w:ascii="仿宋_GB2312" w:hAnsi="仿宋_GB2312" w:cs="仿宋_GB2312" w:eastAsia="仿宋_GB2312"/>
        </w:rPr>
        <w:t>内蒙古德沐工程项目管理有限公司</w:t>
      </w:r>
      <w:r>
        <w:rPr>
          <w:rFonts w:ascii="仿宋_GB2312" w:hAnsi="仿宋_GB2312" w:cs="仿宋_GB2312" w:eastAsia="仿宋_GB2312"/>
        </w:rPr>
        <w:t xml:space="preserve"> 受 </w:t>
      </w:r>
      <w:r>
        <w:rPr>
          <w:rFonts w:ascii="仿宋_GB2312" w:hAnsi="仿宋_GB2312" w:cs="仿宋_GB2312" w:eastAsia="仿宋_GB2312"/>
        </w:rPr>
        <w:t>土默特左旗林业和草原局</w:t>
      </w:r>
      <w:r>
        <w:rPr>
          <w:rFonts w:ascii="仿宋_GB2312" w:hAnsi="仿宋_GB2312" w:cs="仿宋_GB2312" w:eastAsia="仿宋_GB2312"/>
        </w:rPr>
        <w:t xml:space="preserve"> 委托，采用竞争性磋商方式组织采购 </w:t>
      </w:r>
      <w:r>
        <w:rPr>
          <w:rFonts w:ascii="仿宋_GB2312" w:hAnsi="仿宋_GB2312" w:cs="仿宋_GB2312" w:eastAsia="仿宋_GB2312"/>
        </w:rPr>
        <w:t>林草湿荒普查</w:t>
      </w:r>
      <w:r>
        <w:rPr>
          <w:rFonts w:ascii="仿宋_GB2312" w:hAnsi="仿宋_GB2312" w:cs="仿宋_GB2312" w:eastAsia="仿宋_GB2312"/>
        </w:rPr>
        <w:t xml:space="preserve"> 。欢迎符合资格条件的供应商前来参加。</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林草湿荒普查</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150121-NMDMCG-CS-20250001</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土左政采计划[2025]00013</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1,000,000.00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林草湿荒普查</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1,000,000.00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二.供应商的资格要求</w:t>
      </w:r>
    </w:p>
    <w:p>
      <w:pPr>
        <w:pStyle w:val="null5"/>
        <w:ind w:firstLine="480"/>
        <w:jc w:val="left"/>
      </w:pPr>
      <w:r>
        <w:rPr>
          <w:rFonts w:ascii="仿宋_GB2312" w:hAnsi="仿宋_GB2312" w:cs="仿宋_GB2312" w:eastAsia="仿宋_GB2312"/>
        </w:rPr>
        <w:t>1.供应商应符合《中华人民共和国政府采购法》第二十二条规定的条件。</w:t>
      </w:r>
    </w:p>
    <w:p>
      <w:pPr>
        <w:pStyle w:val="null5"/>
        <w:ind w:firstLine="480"/>
        <w:jc w:val="left"/>
      </w:pPr>
      <w:r>
        <w:rPr>
          <w:rFonts w:ascii="仿宋_GB2312" w:hAnsi="仿宋_GB2312" w:cs="仿宋_GB2312" w:eastAsia="仿宋_GB2312"/>
        </w:rPr>
        <w:t>2.资格审查时，供应商未被列入失信被执行人、重大税收违法失信主体、政府采购严重违法失信行为记录名单，相关信用情况通过“信用中国”网站、中国政府采购网等渠道查询。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提供货物、工程或服务的供应商应符合享受中小企业扶持政策，并提供《中小企业声明函》。监狱企业、残疾人福利性单位视同小型、微型企业）。</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1、资格要求：具有乙级及以上测绘资质</w:t>
      </w:r>
    </w:p>
    <w:p>
      <w:pPr>
        <w:pStyle w:val="null5"/>
        <w:jc w:val="left"/>
        <w:outlineLvl w:val="2"/>
      </w:pPr>
      <w:r>
        <w:rPr>
          <w:rFonts w:ascii="仿宋_GB2312" w:hAnsi="仿宋_GB2312" w:cs="仿宋_GB2312" w:eastAsia="仿宋_GB2312"/>
          <w:sz w:val="28"/>
          <w:b/>
        </w:rPr>
        <w:t>三.获取磋商文件的时间、地点、方式</w:t>
      </w:r>
    </w:p>
    <w:p>
      <w:pPr>
        <w:pStyle w:val="null5"/>
        <w:ind w:firstLine="480"/>
        <w:jc w:val="left"/>
      </w:pPr>
      <w:r>
        <w:rPr>
          <w:rFonts w:ascii="仿宋_GB2312" w:hAnsi="仿宋_GB2312" w:cs="仿宋_GB2312" w:eastAsia="仿宋_GB2312"/>
        </w:rPr>
        <w:t>详见竞争性磋商公告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无</w:t>
      </w:r>
    </w:p>
    <w:p>
      <w:pPr>
        <w:pStyle w:val="null5"/>
        <w:jc w:val="left"/>
        <w:outlineLvl w:val="2"/>
      </w:pPr>
      <w:r>
        <w:rPr>
          <w:rFonts w:ascii="仿宋_GB2312" w:hAnsi="仿宋_GB2312" w:cs="仿宋_GB2312" w:eastAsia="仿宋_GB2312"/>
          <w:sz w:val="28"/>
          <w:b/>
        </w:rPr>
        <w:t>四.磋商文件售价</w:t>
      </w:r>
    </w:p>
    <w:p>
      <w:pPr>
        <w:pStyle w:val="null5"/>
        <w:ind w:firstLine="480"/>
        <w:jc w:val="left"/>
      </w:pPr>
      <w:r>
        <w:rPr>
          <w:rFonts w:ascii="仿宋_GB2312" w:hAnsi="仿宋_GB2312" w:cs="仿宋_GB2312" w:eastAsia="仿宋_GB2312"/>
        </w:rPr>
        <w:t>本次磋商文件的售价为0元人民币。</w:t>
      </w:r>
    </w:p>
    <w:p>
      <w:pPr>
        <w:pStyle w:val="null5"/>
        <w:jc w:val="left"/>
        <w:outlineLvl w:val="2"/>
      </w:pPr>
      <w:r>
        <w:rPr>
          <w:rFonts w:ascii="仿宋_GB2312" w:hAnsi="仿宋_GB2312" w:cs="仿宋_GB2312" w:eastAsia="仿宋_GB2312"/>
          <w:sz w:val="28"/>
          <w:b/>
        </w:rPr>
        <w:t>五.响应文件提交的截止时间、开启时间和地点</w:t>
      </w:r>
    </w:p>
    <w:p>
      <w:pPr>
        <w:pStyle w:val="null5"/>
        <w:ind w:firstLine="480"/>
        <w:jc w:val="left"/>
      </w:pPr>
      <w:r>
        <w:rPr>
          <w:rFonts w:ascii="仿宋_GB2312" w:hAnsi="仿宋_GB2312" w:cs="仿宋_GB2312" w:eastAsia="仿宋_GB2312"/>
        </w:rPr>
        <w:t>详见竞争性磋商公告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内蒙古德沐工程项目管理有限公司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内蒙古自治区呼和浩特市赛罕区绿地领海大厦C座1201室</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010020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苏博杰</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15947714383</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土默特左旗林业和草原局</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土默特左旗察素齐镇敕勒川大街路北</w:t>
      </w:r>
    </w:p>
    <w:p>
      <w:pPr>
        <w:pStyle w:val="null5"/>
      </w:pPr>
      <w:r>
        <w:rPr>
          <w:rFonts w:ascii="仿宋_GB2312" w:hAnsi="仿宋_GB2312" w:cs="仿宋_GB2312" w:eastAsia="仿宋_GB2312"/>
        </w:rPr>
        <w:t xml:space="preserve"> 邮编： </w:t>
      </w:r>
      <w:r>
        <w:rPr>
          <w:rFonts w:ascii="仿宋_GB2312" w:hAnsi="仿宋_GB2312" w:cs="仿宋_GB2312" w:eastAsia="仿宋_GB2312"/>
        </w:rPr>
        <w:t>010100</w:t>
      </w:r>
    </w:p>
    <w:p>
      <w:pPr>
        <w:pStyle w:val="null5"/>
      </w:pPr>
      <w:r>
        <w:rPr>
          <w:rFonts w:ascii="仿宋_GB2312" w:hAnsi="仿宋_GB2312" w:cs="仿宋_GB2312" w:eastAsia="仿宋_GB2312"/>
        </w:rPr>
        <w:t xml:space="preserve"> 联系人： </w:t>
      </w:r>
      <w:r>
        <w:rPr>
          <w:rFonts w:ascii="仿宋_GB2312" w:hAnsi="仿宋_GB2312" w:cs="仿宋_GB2312" w:eastAsia="仿宋_GB2312"/>
        </w:rPr>
        <w:t>杨涛宇</w:t>
      </w:r>
    </w:p>
    <w:p>
      <w:pPr>
        <w:pStyle w:val="null5"/>
      </w:pPr>
      <w:r>
        <w:rPr>
          <w:rFonts w:ascii="仿宋_GB2312" w:hAnsi="仿宋_GB2312" w:cs="仿宋_GB2312" w:eastAsia="仿宋_GB2312"/>
        </w:rPr>
        <w:t xml:space="preserve"> 联系电话： </w:t>
      </w:r>
      <w:r>
        <w:rPr>
          <w:rFonts w:ascii="仿宋_GB2312" w:hAnsi="仿宋_GB2312" w:cs="仿宋_GB2312" w:eastAsia="仿宋_GB2312"/>
        </w:rPr>
        <w:t>13847407324</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供应商须知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311"/>
        <w:gridCol w:w="2623"/>
        <w:gridCol w:w="4372"/>
      </w:tblGrid>
      <w:tr>
        <w:tc>
          <w:tcPr>
            <w:tcW w:type="dxa" w:w="1311"/>
          </w:tcPr>
          <w:p>
            <w:pPr>
              <w:pStyle w:val="null5"/>
              <w:jc w:val="left"/>
            </w:pPr>
            <w:r>
              <w:rPr>
                <w:rFonts w:ascii="仿宋_GB2312" w:hAnsi="仿宋_GB2312" w:cs="仿宋_GB2312" w:eastAsia="仿宋_GB2312"/>
              </w:rPr>
              <w:t>序号</w:t>
            </w:r>
          </w:p>
        </w:tc>
        <w:tc>
          <w:tcPr>
            <w:tcW w:type="dxa" w:w="2623"/>
          </w:tcPr>
          <w:p>
            <w:pPr>
              <w:pStyle w:val="null5"/>
              <w:jc w:val="left"/>
            </w:pPr>
            <w:r>
              <w:rPr>
                <w:rFonts w:ascii="仿宋_GB2312" w:hAnsi="仿宋_GB2312" w:cs="仿宋_GB2312" w:eastAsia="仿宋_GB2312"/>
              </w:rPr>
              <w:t>条款名称</w:t>
            </w:r>
          </w:p>
        </w:tc>
        <w:tc>
          <w:tcPr>
            <w:tcW w:type="dxa" w:w="4372"/>
          </w:tcPr>
          <w:p>
            <w:pPr>
              <w:pStyle w:val="null5"/>
              <w:jc w:val="left"/>
            </w:pPr>
            <w:r>
              <w:rPr>
                <w:rFonts w:ascii="仿宋_GB2312" w:hAnsi="仿宋_GB2312" w:cs="仿宋_GB2312" w:eastAsia="仿宋_GB2312"/>
              </w:rPr>
              <w:t>内容及要求</w:t>
            </w:r>
          </w:p>
        </w:tc>
      </w:tr>
      <w:tr>
        <w:tc>
          <w:tcPr>
            <w:tcW w:type="dxa" w:w="1311"/>
          </w:tcPr>
          <w:p>
            <w:pPr>
              <w:pStyle w:val="null5"/>
              <w:jc w:val="left"/>
            </w:pPr>
            <w:r>
              <w:rPr>
                <w:rFonts w:ascii="仿宋_GB2312" w:hAnsi="仿宋_GB2312" w:cs="仿宋_GB2312" w:eastAsia="仿宋_GB2312"/>
              </w:rPr>
              <w:t>1</w:t>
            </w:r>
          </w:p>
        </w:tc>
        <w:tc>
          <w:tcPr>
            <w:tcW w:type="dxa" w:w="2623"/>
          </w:tcPr>
          <w:p>
            <w:pPr>
              <w:pStyle w:val="null5"/>
              <w:jc w:val="left"/>
            </w:pPr>
            <w:r>
              <w:rPr>
                <w:rFonts w:ascii="仿宋_GB2312" w:hAnsi="仿宋_GB2312" w:cs="仿宋_GB2312" w:eastAsia="仿宋_GB2312"/>
              </w:rPr>
              <w:t>划分采购包情况</w:t>
            </w:r>
          </w:p>
        </w:tc>
        <w:tc>
          <w:tcPr>
            <w:tcW w:type="dxa" w:w="4372"/>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311"/>
          </w:tcPr>
          <w:p>
            <w:pPr>
              <w:pStyle w:val="null5"/>
              <w:jc w:val="left"/>
            </w:pPr>
            <w:r>
              <w:rPr>
                <w:rFonts w:ascii="仿宋_GB2312" w:hAnsi="仿宋_GB2312" w:cs="仿宋_GB2312" w:eastAsia="仿宋_GB2312"/>
              </w:rPr>
              <w:t>2</w:t>
            </w:r>
          </w:p>
        </w:tc>
        <w:tc>
          <w:tcPr>
            <w:tcW w:type="dxa" w:w="2623"/>
          </w:tcPr>
          <w:p>
            <w:pPr>
              <w:pStyle w:val="null5"/>
              <w:jc w:val="left"/>
            </w:pPr>
            <w:r>
              <w:rPr>
                <w:rFonts w:ascii="仿宋_GB2312" w:hAnsi="仿宋_GB2312" w:cs="仿宋_GB2312" w:eastAsia="仿宋_GB2312"/>
              </w:rPr>
              <w:t>采购方式</w:t>
            </w:r>
          </w:p>
        </w:tc>
        <w:tc>
          <w:tcPr>
            <w:tcW w:type="dxa" w:w="4372"/>
          </w:tcPr>
          <w:p>
            <w:pPr>
              <w:pStyle w:val="null5"/>
              <w:jc w:val="left"/>
            </w:pPr>
            <w:r>
              <w:rPr>
                <w:rFonts w:ascii="仿宋_GB2312" w:hAnsi="仿宋_GB2312" w:cs="仿宋_GB2312" w:eastAsia="仿宋_GB2312"/>
              </w:rPr>
              <w:t>竞争性磋商</w:t>
            </w:r>
          </w:p>
        </w:tc>
      </w:tr>
      <w:tr>
        <w:tc>
          <w:tcPr>
            <w:tcW w:type="dxa" w:w="1311"/>
          </w:tcPr>
          <w:p>
            <w:pPr>
              <w:pStyle w:val="null5"/>
              <w:jc w:val="left"/>
            </w:pPr>
            <w:r>
              <w:rPr>
                <w:rFonts w:ascii="仿宋_GB2312" w:hAnsi="仿宋_GB2312" w:cs="仿宋_GB2312" w:eastAsia="仿宋_GB2312"/>
              </w:rPr>
              <w:t>3</w:t>
            </w:r>
          </w:p>
        </w:tc>
        <w:tc>
          <w:tcPr>
            <w:tcW w:type="dxa" w:w="2623"/>
          </w:tcPr>
          <w:p>
            <w:pPr>
              <w:pStyle w:val="null5"/>
              <w:jc w:val="left"/>
            </w:pPr>
            <w:r>
              <w:rPr>
                <w:rFonts w:ascii="仿宋_GB2312" w:hAnsi="仿宋_GB2312" w:cs="仿宋_GB2312" w:eastAsia="仿宋_GB2312"/>
              </w:rPr>
              <w:t>开启方式</w:t>
            </w:r>
          </w:p>
        </w:tc>
        <w:tc>
          <w:tcPr>
            <w:tcW w:type="dxa" w:w="4372"/>
          </w:tcPr>
          <w:p>
            <w:pPr>
              <w:pStyle w:val="null5"/>
              <w:jc w:val="left"/>
            </w:pPr>
            <w:r>
              <w:rPr>
                <w:rFonts w:ascii="仿宋_GB2312" w:hAnsi="仿宋_GB2312" w:cs="仿宋_GB2312" w:eastAsia="仿宋_GB2312"/>
              </w:rPr>
              <w:t>远程开标</w:t>
            </w:r>
          </w:p>
        </w:tc>
      </w:tr>
      <w:tr>
        <w:tc>
          <w:tcPr>
            <w:tcW w:type="dxa" w:w="1311"/>
          </w:tcPr>
          <w:p>
            <w:pPr>
              <w:pStyle w:val="null5"/>
              <w:jc w:val="left"/>
            </w:pPr>
            <w:r>
              <w:rPr>
                <w:rFonts w:ascii="仿宋_GB2312" w:hAnsi="仿宋_GB2312" w:cs="仿宋_GB2312" w:eastAsia="仿宋_GB2312"/>
              </w:rPr>
              <w:t>4</w:t>
            </w:r>
          </w:p>
        </w:tc>
        <w:tc>
          <w:tcPr>
            <w:tcW w:type="dxa" w:w="2623"/>
          </w:tcPr>
          <w:p>
            <w:pPr>
              <w:pStyle w:val="null5"/>
              <w:jc w:val="left"/>
            </w:pPr>
            <w:r>
              <w:rPr>
                <w:rFonts w:ascii="仿宋_GB2312" w:hAnsi="仿宋_GB2312" w:cs="仿宋_GB2312" w:eastAsia="仿宋_GB2312"/>
              </w:rPr>
              <w:t>评审方式</w:t>
            </w:r>
          </w:p>
        </w:tc>
        <w:tc>
          <w:tcPr>
            <w:tcW w:type="dxa" w:w="4372"/>
          </w:tcPr>
          <w:p>
            <w:pPr>
              <w:pStyle w:val="null5"/>
              <w:jc w:val="left"/>
            </w:pPr>
            <w:r>
              <w:rPr>
                <w:rFonts w:ascii="仿宋_GB2312" w:hAnsi="仿宋_GB2312" w:cs="仿宋_GB2312" w:eastAsia="仿宋_GB2312"/>
              </w:rPr>
              <w:t>现场网上评标</w:t>
            </w:r>
          </w:p>
        </w:tc>
      </w:tr>
      <w:tr>
        <w:tc>
          <w:tcPr>
            <w:tcW w:type="dxa" w:w="1311"/>
          </w:tcPr>
          <w:p>
            <w:pPr>
              <w:pStyle w:val="null5"/>
              <w:jc w:val="left"/>
            </w:pPr>
            <w:r>
              <w:rPr>
                <w:rFonts w:ascii="仿宋_GB2312" w:hAnsi="仿宋_GB2312" w:cs="仿宋_GB2312" w:eastAsia="仿宋_GB2312"/>
              </w:rPr>
              <w:t>5</w:t>
            </w:r>
          </w:p>
        </w:tc>
        <w:tc>
          <w:tcPr>
            <w:tcW w:type="dxa" w:w="2623"/>
          </w:tcPr>
          <w:p>
            <w:pPr>
              <w:pStyle w:val="null5"/>
              <w:jc w:val="left"/>
            </w:pPr>
            <w:r>
              <w:rPr>
                <w:rFonts w:ascii="仿宋_GB2312" w:hAnsi="仿宋_GB2312" w:cs="仿宋_GB2312" w:eastAsia="仿宋_GB2312"/>
              </w:rPr>
              <w:t>评审方法</w:t>
            </w:r>
          </w:p>
        </w:tc>
        <w:tc>
          <w:tcPr>
            <w:tcW w:type="dxa" w:w="4372"/>
          </w:tcPr>
          <w:p>
            <w:pPr>
              <w:pStyle w:val="null5"/>
              <w:jc w:val="left"/>
            </w:pPr>
            <w:r>
              <w:rPr>
                <w:rFonts w:ascii="仿宋_GB2312" w:hAnsi="仿宋_GB2312" w:cs="仿宋_GB2312" w:eastAsia="仿宋_GB2312"/>
              </w:rPr>
              <w:t>采购包1：综合评分法</w:t>
            </w:r>
          </w:p>
        </w:tc>
      </w:tr>
      <w:tr>
        <w:tc>
          <w:tcPr>
            <w:tcW w:type="dxa" w:w="1311"/>
          </w:tcPr>
          <w:p>
            <w:pPr>
              <w:pStyle w:val="null5"/>
              <w:jc w:val="left"/>
            </w:pPr>
            <w:r>
              <w:rPr>
                <w:rFonts w:ascii="仿宋_GB2312" w:hAnsi="仿宋_GB2312" w:cs="仿宋_GB2312" w:eastAsia="仿宋_GB2312"/>
              </w:rPr>
              <w:t>6</w:t>
            </w:r>
          </w:p>
        </w:tc>
        <w:tc>
          <w:tcPr>
            <w:tcW w:type="dxa" w:w="2623"/>
          </w:tcPr>
          <w:p>
            <w:pPr>
              <w:pStyle w:val="null5"/>
              <w:jc w:val="left"/>
            </w:pPr>
            <w:r>
              <w:rPr>
                <w:rFonts w:ascii="仿宋_GB2312" w:hAnsi="仿宋_GB2312" w:cs="仿宋_GB2312" w:eastAsia="仿宋_GB2312"/>
              </w:rPr>
              <w:t>获取磋商文件时间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7</w:t>
            </w:r>
          </w:p>
        </w:tc>
        <w:tc>
          <w:tcPr>
            <w:tcW w:type="dxa" w:w="2623"/>
          </w:tcPr>
          <w:p>
            <w:pPr>
              <w:pStyle w:val="null5"/>
              <w:jc w:val="left"/>
            </w:pPr>
            <w:r>
              <w:rPr>
                <w:rFonts w:ascii="仿宋_GB2312" w:hAnsi="仿宋_GB2312" w:cs="仿宋_GB2312" w:eastAsia="仿宋_GB2312"/>
              </w:rPr>
              <w:t>保证金缴纳截止时间（同响应文件提交截止时间）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8</w:t>
            </w:r>
          </w:p>
        </w:tc>
        <w:tc>
          <w:tcPr>
            <w:tcW w:type="dxa" w:w="2623"/>
          </w:tcPr>
          <w:p>
            <w:pPr>
              <w:pStyle w:val="null5"/>
              <w:jc w:val="left"/>
            </w:pPr>
            <w:r>
              <w:rPr>
                <w:rFonts w:ascii="仿宋_GB2312" w:hAnsi="仿宋_GB2312" w:cs="仿宋_GB2312" w:eastAsia="仿宋_GB2312"/>
              </w:rPr>
              <w:t>电子响应文件提交</w:t>
            </w:r>
          </w:p>
        </w:tc>
        <w:tc>
          <w:tcPr>
            <w:tcW w:type="dxa" w:w="4372"/>
          </w:tcPr>
          <w:p>
            <w:pPr>
              <w:pStyle w:val="null5"/>
              <w:jc w:val="left"/>
            </w:pPr>
            <w:r>
              <w:rPr>
                <w:rFonts w:ascii="仿宋_GB2312" w:hAnsi="仿宋_GB2312" w:cs="仿宋_GB2312" w:eastAsia="仿宋_GB2312"/>
              </w:rPr>
              <w:t>在响应文件提交截止时间前上传至“内蒙古自治区政府采购网-政府采购云平台”。</w:t>
            </w:r>
          </w:p>
        </w:tc>
      </w:tr>
      <w:tr>
        <w:tc>
          <w:tcPr>
            <w:tcW w:type="dxa" w:w="1311"/>
          </w:tcPr>
          <w:p>
            <w:pPr>
              <w:pStyle w:val="null5"/>
              <w:jc w:val="left"/>
            </w:pPr>
            <w:r>
              <w:rPr>
                <w:rFonts w:ascii="仿宋_GB2312" w:hAnsi="仿宋_GB2312" w:cs="仿宋_GB2312" w:eastAsia="仿宋_GB2312"/>
              </w:rPr>
              <w:t>9</w:t>
            </w:r>
          </w:p>
        </w:tc>
        <w:tc>
          <w:tcPr>
            <w:tcW w:type="dxa" w:w="2623"/>
          </w:tcPr>
          <w:p>
            <w:pPr>
              <w:pStyle w:val="null5"/>
              <w:jc w:val="left"/>
            </w:pPr>
            <w:r>
              <w:rPr>
                <w:rFonts w:ascii="仿宋_GB2312" w:hAnsi="仿宋_GB2312" w:cs="仿宋_GB2312" w:eastAsia="仿宋_GB2312"/>
              </w:rPr>
              <w:t>响应文件数量</w:t>
            </w:r>
          </w:p>
        </w:tc>
        <w:tc>
          <w:tcPr>
            <w:tcW w:type="dxa" w:w="4372"/>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311"/>
          </w:tcPr>
          <w:p>
            <w:pPr>
              <w:pStyle w:val="null5"/>
              <w:jc w:val="left"/>
            </w:pPr>
            <w:r>
              <w:rPr>
                <w:rFonts w:ascii="仿宋_GB2312" w:hAnsi="仿宋_GB2312" w:cs="仿宋_GB2312" w:eastAsia="仿宋_GB2312"/>
              </w:rPr>
              <w:t>10</w:t>
            </w:r>
          </w:p>
        </w:tc>
        <w:tc>
          <w:tcPr>
            <w:tcW w:type="dxa" w:w="2623"/>
          </w:tcPr>
          <w:p>
            <w:pPr>
              <w:pStyle w:val="null5"/>
              <w:jc w:val="left"/>
            </w:pPr>
            <w:r>
              <w:rPr>
                <w:rFonts w:ascii="仿宋_GB2312" w:hAnsi="仿宋_GB2312" w:cs="仿宋_GB2312" w:eastAsia="仿宋_GB2312"/>
              </w:rPr>
              <w:t>成交人确定</w:t>
            </w:r>
          </w:p>
        </w:tc>
        <w:tc>
          <w:tcPr>
            <w:tcW w:type="dxa" w:w="4372"/>
          </w:tcPr>
          <w:p>
            <w:pPr>
              <w:pStyle w:val="null5"/>
              <w:jc w:val="left"/>
            </w:pPr>
            <w:r>
              <w:rPr>
                <w:rFonts w:ascii="仿宋_GB2312" w:hAnsi="仿宋_GB2312" w:cs="仿宋_GB2312" w:eastAsia="仿宋_GB2312"/>
              </w:rPr>
              <w:t>甲方授权评标委员会（非招标采购，如谈判、磋商、协商、询价小组）按照采购文件规定的方式确定中标（成交）供应商。</w:t>
            </w:r>
          </w:p>
        </w:tc>
      </w:tr>
      <w:tr>
        <w:tc>
          <w:tcPr>
            <w:tcW w:type="dxa" w:w="1311"/>
          </w:tcPr>
          <w:p>
            <w:pPr>
              <w:pStyle w:val="null5"/>
              <w:jc w:val="left"/>
            </w:pPr>
            <w:r>
              <w:rPr>
                <w:rFonts w:ascii="仿宋_GB2312" w:hAnsi="仿宋_GB2312" w:cs="仿宋_GB2312" w:eastAsia="仿宋_GB2312"/>
              </w:rPr>
              <w:t>11</w:t>
            </w:r>
          </w:p>
        </w:tc>
        <w:tc>
          <w:tcPr>
            <w:tcW w:type="dxa" w:w="2623"/>
          </w:tcPr>
          <w:p>
            <w:pPr>
              <w:pStyle w:val="null5"/>
              <w:jc w:val="left"/>
            </w:pPr>
            <w:r>
              <w:rPr>
                <w:rFonts w:ascii="仿宋_GB2312" w:hAnsi="仿宋_GB2312" w:cs="仿宋_GB2312" w:eastAsia="仿宋_GB2312"/>
              </w:rPr>
              <w:t>联合体响应</w:t>
            </w:r>
          </w:p>
        </w:tc>
        <w:tc>
          <w:tcPr>
            <w:tcW w:type="dxa" w:w="4372"/>
          </w:tcPr>
          <w:p>
            <w:pPr>
              <w:pStyle w:val="null5"/>
              <w:jc w:val="left"/>
            </w:pPr>
            <w:r>
              <w:rPr>
                <w:rFonts w:ascii="仿宋_GB2312" w:hAnsi="仿宋_GB2312" w:cs="仿宋_GB2312" w:eastAsia="仿宋_GB2312"/>
              </w:rPr>
              <w:t>采购包1：不接受</w:t>
            </w:r>
          </w:p>
        </w:tc>
      </w:tr>
      <w:tr>
        <w:tc>
          <w:tcPr>
            <w:tcW w:type="dxa" w:w="1311"/>
          </w:tcPr>
          <w:p>
            <w:pPr>
              <w:pStyle w:val="null5"/>
              <w:jc w:val="left"/>
            </w:pPr>
            <w:r>
              <w:rPr>
                <w:rFonts w:ascii="仿宋_GB2312" w:hAnsi="仿宋_GB2312" w:cs="仿宋_GB2312" w:eastAsia="仿宋_GB2312"/>
              </w:rPr>
              <w:t>12</w:t>
            </w:r>
          </w:p>
        </w:tc>
        <w:tc>
          <w:tcPr>
            <w:tcW w:type="dxa" w:w="2623"/>
          </w:tcPr>
          <w:p>
            <w:pPr>
              <w:pStyle w:val="null5"/>
              <w:jc w:val="left"/>
            </w:pPr>
            <w:r>
              <w:rPr>
                <w:rFonts w:ascii="仿宋_GB2312" w:hAnsi="仿宋_GB2312" w:cs="仿宋_GB2312" w:eastAsia="仿宋_GB2312"/>
              </w:rPr>
              <w:t>采购代理机构代理费用</w:t>
            </w:r>
          </w:p>
        </w:tc>
        <w:tc>
          <w:tcPr>
            <w:tcW w:type="dxa" w:w="4372"/>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代理服务费用收取对象：中标/成交供应商</w:t>
            </w:r>
          </w:p>
          <w:p>
            <w:pPr>
              <w:pStyle w:val="null5"/>
              <w:jc w:val="left"/>
            </w:pPr>
            <w:r>
              <w:rPr>
                <w:rFonts w:ascii="仿宋_GB2312" w:hAnsi="仿宋_GB2312" w:cs="仿宋_GB2312" w:eastAsia="仿宋_GB2312"/>
              </w:rPr>
              <w:t>代理服务费收费标准： 参照内工建协[2022]34号文件收取</w:t>
            </w:r>
          </w:p>
        </w:tc>
      </w:tr>
      <w:tr>
        <w:tc>
          <w:tcPr>
            <w:tcW w:type="dxa" w:w="1311"/>
          </w:tcPr>
          <w:p>
            <w:pPr>
              <w:pStyle w:val="null5"/>
              <w:jc w:val="left"/>
            </w:pPr>
            <w:r>
              <w:rPr>
                <w:rFonts w:ascii="仿宋_GB2312" w:hAnsi="仿宋_GB2312" w:cs="仿宋_GB2312" w:eastAsia="仿宋_GB2312"/>
              </w:rPr>
              <w:t>13</w:t>
            </w:r>
          </w:p>
        </w:tc>
        <w:tc>
          <w:tcPr>
            <w:tcW w:type="dxa" w:w="2623"/>
          </w:tcPr>
          <w:p>
            <w:pPr>
              <w:pStyle w:val="null5"/>
              <w:jc w:val="left"/>
            </w:pPr>
            <w:r>
              <w:rPr>
                <w:rFonts w:ascii="仿宋_GB2312" w:hAnsi="仿宋_GB2312" w:cs="仿宋_GB2312" w:eastAsia="仿宋_GB2312"/>
              </w:rPr>
              <w:t>磋商保证金</w:t>
            </w:r>
          </w:p>
        </w:tc>
        <w:tc>
          <w:tcPr>
            <w:tcW w:type="dxa" w:w="4372"/>
          </w:tcPr>
          <w:p>
            <w:pPr>
              <w:pStyle w:val="null5"/>
              <w:jc w:val="left"/>
            </w:pPr>
            <w:r>
              <w:rPr>
                <w:rFonts w:ascii="仿宋_GB2312" w:hAnsi="仿宋_GB2312" w:cs="仿宋_GB2312" w:eastAsia="仿宋_GB2312"/>
              </w:rPr>
              <w:t>不收取保证金</w:t>
            </w:r>
          </w:p>
        </w:tc>
      </w:tr>
      <w:tr>
        <w:tc>
          <w:tcPr>
            <w:tcW w:type="dxa" w:w="1311"/>
          </w:tcPr>
          <w:p>
            <w:pPr>
              <w:pStyle w:val="null5"/>
              <w:jc w:val="left"/>
            </w:pPr>
            <w:r>
              <w:rPr>
                <w:rFonts w:ascii="仿宋_GB2312" w:hAnsi="仿宋_GB2312" w:cs="仿宋_GB2312" w:eastAsia="仿宋_GB2312"/>
              </w:rPr>
              <w:t>14</w:t>
            </w:r>
          </w:p>
        </w:tc>
        <w:tc>
          <w:tcPr>
            <w:tcW w:type="dxa" w:w="2623"/>
          </w:tcPr>
          <w:p>
            <w:pPr>
              <w:pStyle w:val="null5"/>
              <w:jc w:val="left"/>
            </w:pPr>
            <w:r>
              <w:rPr>
                <w:rFonts w:ascii="仿宋_GB2312" w:hAnsi="仿宋_GB2312" w:cs="仿宋_GB2312" w:eastAsia="仿宋_GB2312"/>
              </w:rPr>
              <w:t>电子响应文件签字、盖章要求</w:t>
            </w:r>
          </w:p>
        </w:tc>
        <w:tc>
          <w:tcPr>
            <w:tcW w:type="dxa" w:w="4372"/>
          </w:tcPr>
          <w:p>
            <w:pPr>
              <w:pStyle w:val="null5"/>
              <w:jc w:val="left"/>
            </w:pPr>
            <w:r>
              <w:rPr>
                <w:rFonts w:ascii="仿宋_GB2312" w:hAnsi="仿宋_GB2312" w:cs="仿宋_GB2312" w:eastAsia="仿宋_GB2312"/>
              </w:rPr>
              <w:t>应按照第七章“响应文件格式与要求”，使用单位电子签章（CA）进行签字、加盖公章。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说明：若涉及到授权代表签字的可将文件签字页先进行签字、扫描后导入加密电子响应文件。</w:t>
            </w:r>
          </w:p>
        </w:tc>
      </w:tr>
      <w:tr>
        <w:tc>
          <w:tcPr>
            <w:tcW w:type="dxa" w:w="1311"/>
          </w:tcPr>
          <w:p>
            <w:pPr>
              <w:pStyle w:val="null5"/>
              <w:jc w:val="left"/>
            </w:pPr>
            <w:r>
              <w:rPr>
                <w:rFonts w:ascii="仿宋_GB2312" w:hAnsi="仿宋_GB2312" w:cs="仿宋_GB2312" w:eastAsia="仿宋_GB2312"/>
              </w:rPr>
              <w:t>15</w:t>
            </w:r>
          </w:p>
        </w:tc>
        <w:tc>
          <w:tcPr>
            <w:tcW w:type="dxa" w:w="2623"/>
          </w:tcPr>
          <w:p>
            <w:pPr>
              <w:pStyle w:val="null5"/>
              <w:jc w:val="left"/>
            </w:pPr>
            <w:r>
              <w:rPr>
                <w:rFonts w:ascii="仿宋_GB2312" w:hAnsi="仿宋_GB2312" w:cs="仿宋_GB2312" w:eastAsia="仿宋_GB2312"/>
              </w:rPr>
              <w:t>投标客户端</w:t>
            </w:r>
          </w:p>
        </w:tc>
        <w:tc>
          <w:tcPr>
            <w:tcW w:type="dxa" w:w="4372"/>
          </w:tcPr>
          <w:p>
            <w:pPr>
              <w:pStyle w:val="null5"/>
              <w:jc w:val="left"/>
            </w:pPr>
            <w:r>
              <w:rPr>
                <w:rFonts w:ascii="仿宋_GB2312" w:hAnsi="仿宋_GB2312" w:cs="仿宋_GB2312" w:eastAsia="仿宋_GB2312"/>
              </w:rPr>
              <w:t>投标客户端需要供应商登录“内蒙古自治区政府采购网-政府采购云平台”自行下载。下载地址：https://www.ccgp-neimenggu.gov.cn/gp-auth-center/login?systemRegion=150001&amp;systemRegion=150001</w:t>
            </w:r>
          </w:p>
        </w:tc>
      </w:tr>
      <w:tr>
        <w:tc>
          <w:tcPr>
            <w:tcW w:type="dxa" w:w="1311"/>
          </w:tcPr>
          <w:p>
            <w:pPr>
              <w:pStyle w:val="null5"/>
              <w:jc w:val="left"/>
            </w:pPr>
            <w:r>
              <w:rPr>
                <w:rFonts w:ascii="仿宋_GB2312" w:hAnsi="仿宋_GB2312" w:cs="仿宋_GB2312" w:eastAsia="仿宋_GB2312"/>
              </w:rPr>
              <w:t>16</w:t>
            </w:r>
          </w:p>
        </w:tc>
        <w:tc>
          <w:tcPr>
            <w:tcW w:type="dxa" w:w="2623"/>
          </w:tcPr>
          <w:p>
            <w:pPr>
              <w:pStyle w:val="null5"/>
              <w:jc w:val="left"/>
            </w:pPr>
            <w:r>
              <w:rPr>
                <w:rFonts w:ascii="仿宋_GB2312" w:hAnsi="仿宋_GB2312" w:cs="仿宋_GB2312" w:eastAsia="仿宋_GB2312"/>
              </w:rPr>
              <w:t>面向中小企业采购</w:t>
            </w:r>
          </w:p>
        </w:tc>
        <w:tc>
          <w:tcPr>
            <w:tcW w:type="dxa" w:w="4372"/>
          </w:tcPr>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属于专门面向中小企业小微企业采购，预留比例为100%。</w:t>
            </w:r>
          </w:p>
        </w:tc>
      </w:tr>
      <w:tr>
        <w:tc>
          <w:tcPr>
            <w:tcW w:type="dxa" w:w="1311"/>
          </w:tcPr>
          <w:p>
            <w:pPr>
              <w:pStyle w:val="null5"/>
              <w:jc w:val="left"/>
            </w:pPr>
            <w:r>
              <w:rPr>
                <w:rFonts w:ascii="仿宋_GB2312" w:hAnsi="仿宋_GB2312" w:cs="仿宋_GB2312" w:eastAsia="仿宋_GB2312"/>
              </w:rPr>
              <w:t>17</w:t>
            </w:r>
          </w:p>
        </w:tc>
        <w:tc>
          <w:tcPr>
            <w:tcW w:type="dxa" w:w="2623"/>
          </w:tcPr>
          <w:p>
            <w:pPr>
              <w:pStyle w:val="null5"/>
              <w:jc w:val="left"/>
            </w:pPr>
            <w:r>
              <w:rPr>
                <w:rFonts w:ascii="仿宋_GB2312" w:hAnsi="仿宋_GB2312" w:cs="仿宋_GB2312" w:eastAsia="仿宋_GB2312"/>
              </w:rPr>
              <w:t>有效供应商家数</w:t>
            </w:r>
          </w:p>
        </w:tc>
        <w:tc>
          <w:tcPr>
            <w:tcW w:type="dxa" w:w="4372"/>
          </w:tcPr>
          <w:p>
            <w:pPr>
              <w:pStyle w:val="null5"/>
              <w:jc w:val="left"/>
            </w:pPr>
            <w:r>
              <w:rPr>
                <w:rFonts w:ascii="仿宋_GB2312" w:hAnsi="仿宋_GB2312" w:cs="仿宋_GB2312" w:eastAsia="仿宋_GB2312"/>
              </w:rPr>
              <w:t>采购包1：3家</w:t>
            </w:r>
          </w:p>
        </w:tc>
      </w:tr>
      <w:tr>
        <w:tc>
          <w:tcPr>
            <w:tcW w:type="dxa" w:w="1311"/>
          </w:tcPr>
          <w:p>
            <w:pPr>
              <w:pStyle w:val="null5"/>
              <w:jc w:val="left"/>
            </w:pPr>
            <w:r>
              <w:rPr>
                <w:rFonts w:ascii="仿宋_GB2312" w:hAnsi="仿宋_GB2312" w:cs="仿宋_GB2312" w:eastAsia="仿宋_GB2312"/>
              </w:rPr>
              <w:t>18</w:t>
            </w:r>
          </w:p>
        </w:tc>
        <w:tc>
          <w:tcPr>
            <w:tcW w:type="dxa" w:w="2623"/>
          </w:tcPr>
          <w:p>
            <w:pPr>
              <w:pStyle w:val="null5"/>
              <w:jc w:val="left"/>
            </w:pPr>
            <w:r>
              <w:rPr>
                <w:rFonts w:ascii="仿宋_GB2312" w:hAnsi="仿宋_GB2312" w:cs="仿宋_GB2312" w:eastAsia="仿宋_GB2312"/>
              </w:rPr>
              <w:t>中标供应商数量</w:t>
            </w:r>
          </w:p>
        </w:tc>
        <w:tc>
          <w:tcPr>
            <w:tcW w:type="dxa" w:w="4372"/>
          </w:tcPr>
          <w:p>
            <w:pPr>
              <w:pStyle w:val="null5"/>
              <w:jc w:val="left"/>
            </w:pPr>
            <w:r>
              <w:rPr>
                <w:rFonts w:ascii="仿宋_GB2312" w:hAnsi="仿宋_GB2312" w:cs="仿宋_GB2312" w:eastAsia="仿宋_GB2312"/>
              </w:rPr>
              <w:t>采购包1：1名</w:t>
            </w:r>
          </w:p>
        </w:tc>
      </w:tr>
      <w:tr>
        <w:tc>
          <w:tcPr>
            <w:tcW w:type="dxa" w:w="1311"/>
          </w:tcPr>
          <w:p>
            <w:pPr>
              <w:pStyle w:val="null5"/>
              <w:jc w:val="left"/>
            </w:pPr>
            <w:r>
              <w:rPr>
                <w:rFonts w:ascii="仿宋_GB2312" w:hAnsi="仿宋_GB2312" w:cs="仿宋_GB2312" w:eastAsia="仿宋_GB2312"/>
              </w:rPr>
              <w:t>19</w:t>
            </w:r>
          </w:p>
        </w:tc>
        <w:tc>
          <w:tcPr>
            <w:tcW w:type="dxa" w:w="2623"/>
          </w:tcPr>
          <w:p>
            <w:pPr>
              <w:pStyle w:val="null5"/>
              <w:jc w:val="left"/>
            </w:pPr>
            <w:r>
              <w:rPr>
                <w:rFonts w:ascii="仿宋_GB2312" w:hAnsi="仿宋_GB2312" w:cs="仿宋_GB2312" w:eastAsia="仿宋_GB2312"/>
              </w:rPr>
              <w:t>中标候选供应商数量</w:t>
            </w:r>
          </w:p>
        </w:tc>
        <w:tc>
          <w:tcPr>
            <w:tcW w:type="dxa" w:w="4372"/>
          </w:tcPr>
          <w:p>
            <w:pPr>
              <w:pStyle w:val="null5"/>
              <w:jc w:val="left"/>
            </w:pPr>
            <w:r>
              <w:rPr>
                <w:rFonts w:ascii="仿宋_GB2312" w:hAnsi="仿宋_GB2312" w:cs="仿宋_GB2312" w:eastAsia="仿宋_GB2312"/>
              </w:rPr>
              <w:t>采购包1：3名</w:t>
            </w:r>
          </w:p>
        </w:tc>
      </w:tr>
      <w:tr>
        <w:tc>
          <w:tcPr>
            <w:tcW w:type="dxa" w:w="1311"/>
          </w:tcPr>
          <w:p>
            <w:pPr>
              <w:pStyle w:val="null5"/>
              <w:jc w:val="left"/>
            </w:pPr>
            <w:r>
              <w:rPr>
                <w:rFonts w:ascii="仿宋_GB2312" w:hAnsi="仿宋_GB2312" w:cs="仿宋_GB2312" w:eastAsia="仿宋_GB2312"/>
              </w:rPr>
              <w:t>20</w:t>
            </w:r>
          </w:p>
        </w:tc>
        <w:tc>
          <w:tcPr>
            <w:tcW w:type="dxa" w:w="2623"/>
          </w:tcPr>
          <w:p>
            <w:pPr>
              <w:pStyle w:val="null5"/>
              <w:jc w:val="left"/>
            </w:pPr>
            <w:r>
              <w:rPr>
                <w:rFonts w:ascii="仿宋_GB2312" w:hAnsi="仿宋_GB2312" w:cs="仿宋_GB2312" w:eastAsia="仿宋_GB2312"/>
              </w:rPr>
              <w:t>报价形式</w:t>
            </w:r>
          </w:p>
        </w:tc>
        <w:tc>
          <w:tcPr>
            <w:tcW w:type="dxa" w:w="4372"/>
          </w:tcPr>
          <w:p>
            <w:pPr>
              <w:pStyle w:val="null5"/>
              <w:jc w:val="left"/>
            </w:pPr>
            <w:r>
              <w:rPr>
                <w:rFonts w:ascii="仿宋_GB2312" w:hAnsi="仿宋_GB2312" w:cs="仿宋_GB2312" w:eastAsia="仿宋_GB2312"/>
              </w:rPr>
              <w:t>采购包1：总价</w:t>
            </w:r>
          </w:p>
        </w:tc>
      </w:tr>
      <w:tr>
        <w:tc>
          <w:tcPr>
            <w:tcW w:type="dxa" w:w="1311"/>
          </w:tcPr>
          <w:p>
            <w:pPr>
              <w:pStyle w:val="null5"/>
              <w:jc w:val="left"/>
            </w:pPr>
            <w:r>
              <w:rPr>
                <w:rFonts w:ascii="仿宋_GB2312" w:hAnsi="仿宋_GB2312" w:cs="仿宋_GB2312" w:eastAsia="仿宋_GB2312"/>
              </w:rPr>
              <w:t>21</w:t>
            </w:r>
          </w:p>
        </w:tc>
        <w:tc>
          <w:tcPr>
            <w:tcW w:type="dxa" w:w="2623"/>
          </w:tcPr>
          <w:p>
            <w:pPr>
              <w:pStyle w:val="null5"/>
              <w:jc w:val="left"/>
            </w:pPr>
            <w:r>
              <w:rPr>
                <w:rFonts w:ascii="仿宋_GB2312" w:hAnsi="仿宋_GB2312" w:cs="仿宋_GB2312" w:eastAsia="仿宋_GB2312"/>
              </w:rPr>
              <w:t>现场考察</w:t>
            </w:r>
          </w:p>
        </w:tc>
        <w:tc>
          <w:tcPr>
            <w:tcW w:type="dxa" w:w="4372"/>
          </w:tcPr>
          <w:p>
            <w:pPr>
              <w:pStyle w:val="null5"/>
              <w:jc w:val="left"/>
            </w:pPr>
            <w:r>
              <w:rPr>
                <w:rFonts w:ascii="仿宋_GB2312" w:hAnsi="仿宋_GB2312" w:cs="仿宋_GB2312" w:eastAsia="仿宋_GB2312"/>
              </w:rPr>
              <w:t>采购包1：组织现场踏勘：否</w:t>
            </w:r>
          </w:p>
        </w:tc>
      </w:tr>
      <w:tr>
        <w:tc>
          <w:tcPr>
            <w:tcW w:type="dxa" w:w="1311"/>
          </w:tcPr>
          <w:p>
            <w:pPr>
              <w:pStyle w:val="null5"/>
              <w:jc w:val="left"/>
            </w:pPr>
            <w:r>
              <w:rPr>
                <w:rFonts w:ascii="仿宋_GB2312" w:hAnsi="仿宋_GB2312" w:cs="仿宋_GB2312" w:eastAsia="仿宋_GB2312"/>
              </w:rPr>
              <w:t>22</w:t>
            </w:r>
          </w:p>
        </w:tc>
        <w:tc>
          <w:tcPr>
            <w:tcW w:type="dxa" w:w="2623"/>
          </w:tcPr>
          <w:p>
            <w:pPr>
              <w:pStyle w:val="null5"/>
              <w:jc w:val="left"/>
            </w:pPr>
            <w:r>
              <w:rPr>
                <w:rFonts w:ascii="仿宋_GB2312" w:hAnsi="仿宋_GB2312" w:cs="仿宋_GB2312" w:eastAsia="仿宋_GB2312"/>
              </w:rPr>
              <w:t>其他</w:t>
            </w:r>
          </w:p>
        </w:tc>
        <w:tc>
          <w:tcPr>
            <w:tcW w:type="dxa" w:w="4372"/>
          </w:tcPr>
          <w:p>
            <w:pPr>
              <w:pStyle w:val="null5"/>
              <w:jc w:val="left"/>
            </w:pPr>
            <w:r>
              <w:rPr>
                <w:rFonts w:ascii="仿宋_GB2312" w:hAnsi="仿宋_GB2312" w:cs="仿宋_GB2312" w:eastAsia="仿宋_GB2312"/>
              </w:rPr>
              <w:t>本项目可兼投1包，本项目可兼中1包</w:t>
            </w:r>
          </w:p>
          <w:p>
            <w:pPr>
              <w:pStyle w:val="null5"/>
              <w:jc w:val="left"/>
            </w:pPr>
            <w:r>
              <w:rPr>
                <w:rFonts w:ascii="仿宋_GB2312" w:hAnsi="仿宋_GB2312" w:cs="仿宋_GB2312" w:eastAsia="仿宋_GB2312"/>
              </w:rPr>
              <w:t>无</w:t>
            </w:r>
          </w:p>
        </w:tc>
      </w:tr>
    </w:tbl>
    <w:p>
      <w:pPr>
        <w:pStyle w:val="null5"/>
        <w:jc w:val="left"/>
        <w:outlineLvl w:val="2"/>
      </w:pPr>
      <w:r>
        <w:rPr>
          <w:rFonts w:ascii="仿宋_GB2312" w:hAnsi="仿宋_GB2312" w:cs="仿宋_GB2312" w:eastAsia="仿宋_GB2312"/>
          <w:sz w:val="28"/>
          <w:b/>
        </w:rPr>
        <w:t>二.磋商须知</w:t>
      </w:r>
    </w:p>
    <w:p>
      <w:pPr>
        <w:pStyle w:val="null5"/>
        <w:ind w:firstLine="480"/>
        <w:jc w:val="left"/>
      </w:pPr>
      <w:r>
        <w:rPr>
          <w:rFonts w:ascii="仿宋_GB2312" w:hAnsi="仿宋_GB2312" w:cs="仿宋_GB2312" w:eastAsia="仿宋_GB2312"/>
        </w:rPr>
        <w:t>1.磋商采取网上响应方式，操作流程如下：</w:t>
      </w:r>
    </w:p>
    <w:p>
      <w:pPr>
        <w:pStyle w:val="null5"/>
        <w:ind w:firstLine="480"/>
        <w:jc w:val="left"/>
      </w:pPr>
      <w:r>
        <w:rPr>
          <w:rFonts w:ascii="仿宋_GB2312" w:hAnsi="仿宋_GB2312" w:cs="仿宋_GB2312" w:eastAsia="仿宋_GB2312"/>
        </w:rPr>
        <w:t>供应商应当在内蒙古自治区政府采购云平台申请或注册账号，完善信息后，才可进行网上响应，办理流程请登录内蒙古自治区政府采购网（https://www.ccgp-neimenggu.gov.cn）进行查询。</w:t>
      </w:r>
    </w:p>
    <w:p>
      <w:pPr>
        <w:pStyle w:val="null5"/>
        <w:ind w:firstLine="480"/>
        <w:jc w:val="left"/>
      </w:pPr>
      <w:r>
        <w:rPr>
          <w:rFonts w:ascii="仿宋_GB2312" w:hAnsi="仿宋_GB2312" w:cs="仿宋_GB2312" w:eastAsia="仿宋_GB2312"/>
        </w:rPr>
        <w:t>供应商登录内蒙古自治区政府采购网页面，点击“政府采购云平台”，输入用户名、密码、验证码完成登录后，点击左侧“交易执行—应标—项目应标”，在未参与项目列表中选择要响应的项目，点击项目的“未参与项目”按钮，进入项目响应信息页面，在右侧选择要响应的采购包，填写“联系人姓名”、“联系人手机号”、“联系人邮箱”等信息，点击“确认参与”按钮后，获取所响应项目磋商文件，并按照磋商文件的要求制作、上传电子响应文件。</w:t>
      </w:r>
    </w:p>
    <w:p>
      <w:pPr>
        <w:pStyle w:val="null5"/>
        <w:ind w:firstLine="480"/>
        <w:jc w:val="left"/>
      </w:pPr>
      <w:r>
        <w:rPr>
          <w:rFonts w:ascii="仿宋_GB2312" w:hAnsi="仿宋_GB2312" w:cs="仿宋_GB2312" w:eastAsia="仿宋_GB2312"/>
        </w:rPr>
        <w:t>2.磋商保证金</w:t>
      </w:r>
    </w:p>
    <w:p>
      <w:pPr>
        <w:pStyle w:val="null5"/>
        <w:ind w:firstLine="480"/>
        <w:jc w:val="left"/>
      </w:pPr>
      <w:r>
        <w:rPr>
          <w:rFonts w:ascii="仿宋_GB2312" w:hAnsi="仿宋_GB2312" w:cs="仿宋_GB2312" w:eastAsia="仿宋_GB2312"/>
        </w:rPr>
        <w:t>2.1磋商保证金缴纳（如需缴纳保证金）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本采购项目支持“电子保函”和“虚拟子账户”两种方式收取磋商保证金，同时允许供应商按照相关法律法规自主选择以支票、汇票、本票、保函等非现金形式缴纳保证金。</w:t>
      </w:r>
    </w:p>
    <w:p>
      <w:pPr>
        <w:pStyle w:val="null5"/>
        <w:ind w:firstLine="480"/>
        <w:jc w:val="left"/>
      </w:pPr>
      <w:r>
        <w:rPr>
          <w:rFonts w:ascii="仿宋_GB2312" w:hAnsi="仿宋_GB2312" w:cs="仿宋_GB2312" w:eastAsia="仿宋_GB2312"/>
        </w:rPr>
        <w:t>2.1.1供应商选择“电子保函”方式缴纳保证金的，在所投项目下采购包选择电子保函模式，跳转到内蒙古自治区金融服务平台开具电子保函，供应商需要确保在响应文件开启时间之前完成电子保函的开具。</w:t>
      </w:r>
    </w:p>
    <w:p>
      <w:pPr>
        <w:pStyle w:val="null5"/>
        <w:ind w:firstLine="480"/>
        <w:jc w:val="left"/>
      </w:pPr>
      <w:r>
        <w:rPr>
          <w:rFonts w:ascii="仿宋_GB2312" w:hAnsi="仿宋_GB2312" w:cs="仿宋_GB2312" w:eastAsia="仿宋_GB2312"/>
        </w:rPr>
        <w:t>2.1.2供应商选择“虚拟子账户”方式缴纳保证金的，在进行信息确认后，应通过“交易执行—应标—项目应标—已参与项目”，选择缴纳银行并获取对应不同采购包的缴纳金额以及虚拟子账号信息，并在响应文件开启时间前，缴纳至上述账号中。付款人名称必须为供应商全称，且与其响应信息一致。</w:t>
      </w:r>
    </w:p>
    <w:p>
      <w:pPr>
        <w:pStyle w:val="null5"/>
        <w:ind w:firstLine="480"/>
        <w:jc w:val="left"/>
      </w:pPr>
      <w:r>
        <w:rPr>
          <w:rFonts w:ascii="仿宋_GB2312" w:hAnsi="仿宋_GB2312" w:cs="仿宋_GB2312" w:eastAsia="仿宋_GB2312"/>
        </w:rPr>
        <w:t>若出现账号缴纳不一致、缴纳金额与供应商须知前附表规定的金额不一致或缴纳时间超过响应文件开启时间，将导致保证金缴纳失败。供应商应认真核对账户信息，将磋商保证金足额汇入以上账户，并自行承担因汇错磋商保证金而产生的一切后果。供应商在转账或电汇的凭证上应按照“项目编号：***、采购包：***的磋商保证金”格式注明，以便核对。</w:t>
      </w:r>
    </w:p>
    <w:p>
      <w:pPr>
        <w:pStyle w:val="null5"/>
        <w:ind w:firstLine="480"/>
        <w:jc w:val="left"/>
      </w:pPr>
      <w:r>
        <w:rPr>
          <w:rFonts w:ascii="仿宋_GB2312" w:hAnsi="仿宋_GB2312" w:cs="仿宋_GB2312" w:eastAsia="仿宋_GB2312"/>
        </w:rPr>
        <w:t>2.1.3供应商选择以支票、汇票、本票、保函等非现金形式缴纳保证金的，供应商将相关证明材料原件扫描添加至响应文件中，同时现场提供证明材料。</w:t>
      </w:r>
    </w:p>
    <w:p>
      <w:pPr>
        <w:pStyle w:val="null5"/>
        <w:ind w:firstLine="480"/>
        <w:jc w:val="left"/>
      </w:pPr>
      <w:r>
        <w:rPr>
          <w:rFonts w:ascii="仿宋_GB2312" w:hAnsi="仿宋_GB2312" w:cs="仿宋_GB2312" w:eastAsia="仿宋_GB2312"/>
        </w:rPr>
        <w:t>2.1.4缴纳保证金时间以保证金到账时间为准，由于磋商保证金到账需要一定时间，请供应商在响应文件开启时间前及早缴纳。</w:t>
      </w:r>
    </w:p>
    <w:p>
      <w:pPr>
        <w:pStyle w:val="null5"/>
        <w:ind w:firstLine="480"/>
        <w:jc w:val="left"/>
      </w:pPr>
      <w:r>
        <w:rPr>
          <w:rFonts w:ascii="仿宋_GB2312" w:hAnsi="仿宋_GB2312" w:cs="仿宋_GB2312" w:eastAsia="仿宋_GB2312"/>
        </w:rPr>
        <w:t>2.2磋商保证金的退还</w:t>
      </w:r>
    </w:p>
    <w:p>
      <w:pPr>
        <w:pStyle w:val="null5"/>
        <w:ind w:firstLine="480"/>
        <w:jc w:val="left"/>
      </w:pPr>
      <w:r>
        <w:rPr>
          <w:rFonts w:ascii="仿宋_GB2312" w:hAnsi="仿宋_GB2312" w:cs="仿宋_GB2312" w:eastAsia="仿宋_GB2312"/>
        </w:rPr>
        <w:t>2.2.1已提交响应文件的供应商，在提交最后报价之前，可以根据磋商情况退出磋商。采购人、采购代理机构应当退还退出磋商的供应商的磋商保证金。未成交供应商的磋商保证金应当在成交通知书发出后5个工作日内退还，成交供应商的磋商保证金应当在采购合同签订后5个工作日内退还。因供应商自身原因导致无法及时退还的除外。</w:t>
      </w:r>
    </w:p>
    <w:p>
      <w:pPr>
        <w:pStyle w:val="null5"/>
        <w:ind w:firstLine="480"/>
        <w:jc w:val="left"/>
      </w:pPr>
      <w:r>
        <w:rPr>
          <w:rFonts w:ascii="仿宋_GB2312" w:hAnsi="仿宋_GB2312" w:cs="仿宋_GB2312" w:eastAsia="仿宋_GB2312"/>
        </w:rPr>
        <w:t>2.2.2有下列情形之一的，磋商保证金将不予退还：</w:t>
      </w:r>
    </w:p>
    <w:p>
      <w:pPr>
        <w:pStyle w:val="null5"/>
        <w:ind w:firstLine="480"/>
        <w:jc w:val="left"/>
      </w:pPr>
      <w:r>
        <w:rPr>
          <w:rFonts w:ascii="仿宋_GB2312" w:hAnsi="仿宋_GB2312" w:cs="仿宋_GB2312" w:eastAsia="仿宋_GB2312"/>
        </w:rPr>
        <w:t>（1）供应商在提交响应文件截止时间后撤回响应文件的；</w:t>
      </w:r>
    </w:p>
    <w:p>
      <w:pPr>
        <w:pStyle w:val="null5"/>
        <w:ind w:firstLine="480"/>
        <w:jc w:val="left"/>
      </w:pPr>
      <w:r>
        <w:rPr>
          <w:rFonts w:ascii="仿宋_GB2312" w:hAnsi="仿宋_GB2312" w:cs="仿宋_GB2312" w:eastAsia="仿宋_GB2312"/>
        </w:rPr>
        <w:t>（2）供应商在响应文件中提供虚假材料的；</w:t>
      </w:r>
    </w:p>
    <w:p>
      <w:pPr>
        <w:pStyle w:val="null5"/>
        <w:ind w:firstLine="480"/>
        <w:jc w:val="left"/>
      </w:pPr>
      <w:r>
        <w:rPr>
          <w:rFonts w:ascii="仿宋_GB2312" w:hAnsi="仿宋_GB2312" w:cs="仿宋_GB2312" w:eastAsia="仿宋_GB2312"/>
        </w:rPr>
        <w:t>（3）除因不可抗力或磋商文件认可的情形以外，成交供应商不与采购人签订合同的；</w:t>
      </w:r>
    </w:p>
    <w:p>
      <w:pPr>
        <w:pStyle w:val="null5"/>
        <w:ind w:firstLine="480"/>
        <w:jc w:val="left"/>
      </w:pPr>
      <w:r>
        <w:rPr>
          <w:rFonts w:ascii="仿宋_GB2312" w:hAnsi="仿宋_GB2312" w:cs="仿宋_GB2312" w:eastAsia="仿宋_GB2312"/>
        </w:rPr>
        <w:t>（4）供应商与采购人、其他供应商或者采购代理机构恶意串通的；</w:t>
      </w:r>
    </w:p>
    <w:p>
      <w:pPr>
        <w:pStyle w:val="null5"/>
        <w:ind w:firstLine="480"/>
        <w:jc w:val="left"/>
      </w:pPr>
      <w:r>
        <w:rPr>
          <w:rFonts w:ascii="仿宋_GB2312" w:hAnsi="仿宋_GB2312" w:cs="仿宋_GB2312" w:eastAsia="仿宋_GB2312"/>
        </w:rPr>
        <w:t>（5）本文件规定的其他情形。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各供应商应当在内蒙古自治区政府采购云平台开展与本项目有关的政府采购活动。</w:t>
      </w:r>
    </w:p>
    <w:p>
      <w:pPr>
        <w:pStyle w:val="null5"/>
        <w:ind w:firstLine="480"/>
        <w:jc w:val="left"/>
      </w:pPr>
      <w:r>
        <w:rPr>
          <w:rFonts w:ascii="仿宋_GB2312" w:hAnsi="仿宋_GB2312" w:cs="仿宋_GB2312" w:eastAsia="仿宋_GB2312"/>
        </w:rPr>
        <w:t>各供应商应当在响应文件开启时间前上传加密的最终版电子响应文件至“内蒙古自治区政府采购网”，未在响应文件开启时间前上传电子响应文件的，视为自动放弃。供应商因系统问题无法上传电子响应文件时，请在工作时间及时拨打联系电话400-0471-010。</w:t>
      </w:r>
    </w:p>
    <w:p>
      <w:pPr>
        <w:pStyle w:val="null5"/>
        <w:ind w:firstLine="480"/>
        <w:jc w:val="left"/>
      </w:pPr>
      <w:r>
        <w:rPr>
          <w:rFonts w:ascii="仿宋_GB2312" w:hAnsi="仿宋_GB2312" w:cs="仿宋_GB2312" w:eastAsia="仿宋_GB2312"/>
        </w:rPr>
        <w:t>各供应商应当使用数字证书或者政府采购云平台生成的账号密码登录电子交易系统进行系统操作，并对其操作行为和电子签名、电子印章确认的事项承担法律责任。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3.1远程不见面方式（供应商无需到现场）</w:t>
      </w:r>
    </w:p>
    <w:p>
      <w:pPr>
        <w:pStyle w:val="null5"/>
        <w:ind w:firstLine="480"/>
        <w:jc w:val="left"/>
      </w:pPr>
      <w:r>
        <w:rPr>
          <w:rFonts w:ascii="仿宋_GB2312" w:hAnsi="仿宋_GB2312" w:cs="仿宋_GB2312" w:eastAsia="仿宋_GB2312"/>
        </w:rPr>
        <w:t>供应商使用“投标客户端”编制、签章、生成加密响应文件，同时生成“备用标书”，供应商自行留存，涉及“加盖公章”的内容应使用单位电子公章完成。</w:t>
      </w:r>
    </w:p>
    <w:p>
      <w:pPr>
        <w:pStyle w:val="null5"/>
        <w:ind w:firstLine="480"/>
        <w:jc w:val="left"/>
      </w:pPr>
      <w:r>
        <w:rPr>
          <w:rFonts w:ascii="仿宋_GB2312" w:hAnsi="仿宋_GB2312" w:cs="仿宋_GB2312" w:eastAsia="仿宋_GB2312"/>
        </w:rPr>
        <w:t>供应商的法定代表人或其授权代表应当按照本项目磋商公告载明的时间等要求参加磋商，在响应文件开启时间前30分钟，应当提前登录电子交易系统确认联系人姓名与联系电话。</w:t>
      </w:r>
    </w:p>
    <w:p>
      <w:pPr>
        <w:pStyle w:val="null5"/>
        <w:ind w:firstLine="480"/>
        <w:jc w:val="left"/>
      </w:pPr>
      <w:r>
        <w:rPr>
          <w:rFonts w:ascii="仿宋_GB2312" w:hAnsi="仿宋_GB2312" w:cs="仿宋_GB2312" w:eastAsia="仿宋_GB2312"/>
        </w:rPr>
        <w:t>响应文件开启时，供应商应当使用CA证书在开始解密后30分钟内完成全部已响应采购包的响应文件在线解密，若出现系统异常情况，工作人员可适当延长解密时长。如在响应文件开启过程中出现意外情况导致无法继续进行时，由代理机构会同采购人决定是否允许供应商导入“备用标书”继续进行。本项目采用电子评审，只对开启环节验证通过的电子响应文件进行评审。供应商在响应文件开启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（1）供应商未在规定时间内完成电子响应文件在线解密的；</w:t>
      </w:r>
    </w:p>
    <w:p>
      <w:pPr>
        <w:pStyle w:val="null5"/>
        <w:ind w:firstLine="480"/>
        <w:jc w:val="left"/>
      </w:pPr>
      <w:r>
        <w:rPr>
          <w:rFonts w:ascii="仿宋_GB2312" w:hAnsi="仿宋_GB2312" w:cs="仿宋_GB2312" w:eastAsia="仿宋_GB2312"/>
        </w:rPr>
        <w:t>（2）CA证书无法解密响应文件的；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3.2现场网上方式（供应商需到现场）</w:t>
      </w:r>
    </w:p>
    <w:p>
      <w:pPr>
        <w:pStyle w:val="null5"/>
        <w:ind w:firstLine="480"/>
        <w:jc w:val="left"/>
      </w:pPr>
      <w:r>
        <w:rPr>
          <w:rFonts w:ascii="仿宋_GB2312" w:hAnsi="仿宋_GB2312" w:cs="仿宋_GB2312" w:eastAsia="仿宋_GB2312"/>
        </w:rPr>
        <w:t>供应商使用“投标客户端”编制、签章、生成加密响应文件，同时生成“备用标书”，由供应商自行刻录、存储，涉及“加盖公章”的内容应使用单位电子公章完成。供应商必须保证电子存储设备能够正常读取“备用标书”，电子存储设备（U盘或光盘）表面、外包装上应简要载明项目编号、项目名称、供应商名称等信息。</w:t>
      </w:r>
    </w:p>
    <w:p>
      <w:pPr>
        <w:pStyle w:val="null5"/>
        <w:ind w:firstLine="480"/>
        <w:jc w:val="left"/>
      </w:pPr>
      <w:r>
        <w:rPr>
          <w:rFonts w:ascii="仿宋_GB2312" w:hAnsi="仿宋_GB2312" w:cs="仿宋_GB2312" w:eastAsia="仿宋_GB2312"/>
        </w:rPr>
        <w:t>供应商的法定代表人或其授权代表应当按照本项目磋商公告载明的时间和地点参加磋商。响应文件开启时，供应商应当使用CA证书完成全部已响应采购包的响应文件在线解密。如在响应文件开启过程中出现意外情况导致无法继续进行时，由代理机构会同采购人决定是否允许供应商导入“备用标书”继续进行。本项目采用电子评审，只对响应文件开启环节验证通过的电子响应文件进行评审。</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（1）CA证书无法解密响应文件的；</w:t>
      </w:r>
    </w:p>
    <w:p>
      <w:pPr>
        <w:pStyle w:val="null5"/>
        <w:ind w:firstLine="480"/>
        <w:jc w:val="left"/>
      </w:pPr>
      <w:r>
        <w:rPr>
          <w:rFonts w:ascii="仿宋_GB2312" w:hAnsi="仿宋_GB2312" w:cs="仿宋_GB2312" w:eastAsia="仿宋_GB2312"/>
        </w:rPr>
        <w:t>（2）供应商未按磋商文件要求提供“备用标书”的；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4.供应商可以通过“交易执行-应标-项目应标-已参与项目”查看有无本项目信息。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本磋商文件依据《中华人民共和国政府采购法》《中华人民共和国政府采购法实施条例》和《政府采购竞争性磋商采购方式管理暂行办法》及国家和自治区有关法律、法规、规章制度编制。</w:t>
      </w:r>
    </w:p>
    <w:p>
      <w:pPr>
        <w:pStyle w:val="null5"/>
        <w:ind w:firstLine="480"/>
        <w:jc w:val="left"/>
      </w:pPr>
      <w:r>
        <w:rPr>
          <w:rFonts w:ascii="仿宋_GB2312" w:hAnsi="仿宋_GB2312" w:cs="仿宋_GB2312" w:eastAsia="仿宋_GB2312"/>
        </w:rPr>
        <w:t>供应商应仔细阅读本项目信息公告及磋商文件的所有内容（包括澄清或者修改），按照磋商文件要求以及格式编制响应文件，并保证其真实性，否则一切后果自负。</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本磋商文件仅适用于本次竞争性磋商公告中所涉及的项目和内容。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供应商应自行承担所有与准备、参加磋商有关的费用。不论磋商结果如何，采购人或采购代理机构均无义务和责任承担相关费用。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 xml:space="preserve">4.1“采购人”是指依法进行政府采购的国家机关、事业单位、团体组织。本磋商文件的采购人特指 </w:t>
      </w:r>
      <w:r>
        <w:rPr>
          <w:rFonts w:ascii="仿宋_GB2312" w:hAnsi="仿宋_GB2312" w:cs="仿宋_GB2312" w:eastAsia="仿宋_GB2312"/>
        </w:rPr>
        <w:t>土默特左旗林业和草原局</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 xml:space="preserve">4.2“采购代理机构”是指集中采购机构和集中采购机构以外的采购代理机构。本磋商文件的采购代理机构特指 </w:t>
      </w:r>
      <w:r>
        <w:rPr>
          <w:rFonts w:ascii="仿宋_GB2312" w:hAnsi="仿宋_GB2312" w:cs="仿宋_GB2312" w:eastAsia="仿宋_GB2312"/>
        </w:rPr>
        <w:t>内蒙古德沐工程项目管理有限公司</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4.3“供应商”是指向采购人提供货物、工程或者服务的法人、其他组织或者自然人。</w:t>
      </w:r>
    </w:p>
    <w:p>
      <w:pPr>
        <w:pStyle w:val="null5"/>
        <w:ind w:firstLine="480"/>
        <w:jc w:val="left"/>
      </w:pPr>
      <w:r>
        <w:rPr>
          <w:rFonts w:ascii="仿宋_GB2312" w:hAnsi="仿宋_GB2312" w:cs="仿宋_GB2312" w:eastAsia="仿宋_GB2312"/>
        </w:rPr>
        <w:t>4.4“磋商小组”由采购人代表和评审专家组成。</w:t>
      </w:r>
    </w:p>
    <w:p>
      <w:pPr>
        <w:pStyle w:val="null5"/>
        <w:ind w:firstLine="480"/>
        <w:jc w:val="left"/>
      </w:pPr>
      <w:r>
        <w:rPr>
          <w:rFonts w:ascii="仿宋_GB2312" w:hAnsi="仿宋_GB2312" w:cs="仿宋_GB2312" w:eastAsia="仿宋_GB2312"/>
        </w:rPr>
        <w:t>4.5“成交供应商”是指取得与采购人签订合同资格的供应商。</w:t>
      </w:r>
    </w:p>
    <w:p>
      <w:pPr>
        <w:pStyle w:val="null5"/>
        <w:ind w:firstLine="480"/>
        <w:jc w:val="left"/>
      </w:pPr>
      <w:r>
        <w:rPr>
          <w:rFonts w:ascii="仿宋_GB2312" w:hAnsi="仿宋_GB2312" w:cs="仿宋_GB2312" w:eastAsia="仿宋_GB2312"/>
        </w:rPr>
        <w:t>5.合格的供应商</w:t>
      </w:r>
    </w:p>
    <w:p>
      <w:pPr>
        <w:pStyle w:val="null5"/>
        <w:ind w:firstLine="480"/>
        <w:jc w:val="left"/>
      </w:pPr>
      <w:r>
        <w:rPr>
          <w:rFonts w:ascii="仿宋_GB2312" w:hAnsi="仿宋_GB2312" w:cs="仿宋_GB2312" w:eastAsia="仿宋_GB2312"/>
        </w:rPr>
        <w:t>5.1符合本磋商文件规定的资格要求，并按照要求提供相关证明材料。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5.2单位负责人为同一人或者存在直接控股、管理关系的不同供应商，不得参加同一合同项下的政府采购活动。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5.3为采购项目提供整体设计、规范编制或者项目管理、监理、检测等服务的供应商，不得再参加该采购项目的其他采购活动。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6.1联合体各方应签订联合体协议书，明确联合体牵头人和各方权利义务，并作为响应文件组成部分。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6.2联合体各方均应当具备《中华人民共和国政府采购法》第二十二条规定的条件，并在响应文件中提供联合体各方的相关证明材料。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6.4联合体中有同类资质的供应商按照联合体分工承担相同工作的，应当按照资质等级较低的供应商确定资质等级。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6.5以联合体形式参加政府采购活动的，联合体各方不得再单独参加或者与其他供应商另外组成联合体参加同一合同项下的政府采购活动。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8.现场考察</w:t>
      </w:r>
    </w:p>
    <w:p>
      <w:pPr>
        <w:pStyle w:val="null5"/>
        <w:ind w:firstLine="480"/>
        <w:jc w:val="left"/>
      </w:pPr>
      <w:r>
        <w:rPr>
          <w:rFonts w:ascii="仿宋_GB2312" w:hAnsi="仿宋_GB2312" w:cs="仿宋_GB2312" w:eastAsia="仿宋_GB2312"/>
        </w:rPr>
        <w:t>8.1磋商文件规定组织现场考察的，采购人或者采购代理机构按磋商文件规定的时间、地点组织供应商考察项目现场。</w:t>
      </w:r>
    </w:p>
    <w:p>
      <w:pPr>
        <w:pStyle w:val="null5"/>
        <w:ind w:firstLine="480"/>
        <w:jc w:val="left"/>
      </w:pPr>
      <w:r>
        <w:rPr>
          <w:rFonts w:ascii="仿宋_GB2312" w:hAnsi="仿宋_GB2312" w:cs="仿宋_GB2312" w:eastAsia="仿宋_GB2312"/>
        </w:rPr>
        <w:t>8.2供应商自行承担考察现场发生的责任、风险和自身费用。</w:t>
      </w:r>
    </w:p>
    <w:p>
      <w:pPr>
        <w:pStyle w:val="null5"/>
        <w:ind w:firstLine="480"/>
        <w:jc w:val="left"/>
      </w:pPr>
      <w:r>
        <w:rPr>
          <w:rFonts w:ascii="仿宋_GB2312" w:hAnsi="仿宋_GB2312" w:cs="仿宋_GB2312" w:eastAsia="仿宋_GB2312"/>
        </w:rPr>
        <w:t>8.3采购人在考察现场介绍的资料和数据等，不构成对磋商文件的修改或不作为供应商编制响应文件的依据。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无论成交与否供应商递交的响应文件均不予退还。</w:t>
      </w:r>
    </w:p>
    <w:p>
      <w:pPr>
        <w:pStyle w:val="null5"/>
        <w:jc w:val="left"/>
        <w:outlineLvl w:val="2"/>
      </w:pPr>
      <w:r>
        <w:rPr>
          <w:rFonts w:ascii="仿宋_GB2312" w:hAnsi="仿宋_GB2312" w:cs="仿宋_GB2312" w:eastAsia="仿宋_GB2312"/>
          <w:sz w:val="28"/>
          <w:b/>
        </w:rPr>
        <w:t>四.磋商文件的澄清或者修改</w:t>
      </w:r>
    </w:p>
    <w:p>
      <w:pPr>
        <w:pStyle w:val="null5"/>
        <w:ind w:firstLine="480"/>
        <w:jc w:val="left"/>
      </w:pPr>
      <w:r>
        <w:rPr>
          <w:rFonts w:ascii="仿宋_GB2312" w:hAnsi="仿宋_GB2312" w:cs="仿宋_GB2312" w:eastAsia="仿宋_GB2312"/>
        </w:rPr>
        <w:t>提交首次响应文件截止之日前，采购人、采购代理机构或者磋商小组可以对已发出的磋商文件进行必要的澄清或者修改，澄清或者修改的内容作为磋商文件的组成部分。澄清或者修改的内容可能影响响应文件编制的，采购人、采购代理机构应当在提交首次响应文件截止时间至少5日前，在“内蒙古自治区政府采购网”上发布更正公告进行通知；不足5日的，采购人、采购代理机构应当顺延提交首次响应文件截止时间。更正公告的内容为磋商文件的组成部分，供应商应自行上网查询，采购人或采购代理机构不承担供应商未及时关注相关信息的责任。</w:t>
      </w:r>
    </w:p>
    <w:p>
      <w:pPr>
        <w:pStyle w:val="null5"/>
        <w:jc w:val="left"/>
        <w:outlineLvl w:val="2"/>
      </w:pPr>
      <w:r>
        <w:rPr>
          <w:rFonts w:ascii="仿宋_GB2312" w:hAnsi="仿宋_GB2312" w:cs="仿宋_GB2312" w:eastAsia="仿宋_GB2312"/>
          <w:sz w:val="28"/>
          <w:b/>
        </w:rPr>
        <w:t>五.响应文件</w:t>
      </w:r>
    </w:p>
    <w:p>
      <w:pPr>
        <w:pStyle w:val="null5"/>
        <w:ind w:firstLine="480"/>
        <w:jc w:val="left"/>
      </w:pPr>
      <w:r>
        <w:rPr>
          <w:rFonts w:ascii="仿宋_GB2312" w:hAnsi="仿宋_GB2312" w:cs="仿宋_GB2312" w:eastAsia="仿宋_GB2312"/>
        </w:rPr>
        <w:t>1.响应文件的构成</w:t>
      </w:r>
    </w:p>
    <w:p>
      <w:pPr>
        <w:pStyle w:val="null5"/>
        <w:ind w:firstLine="480"/>
        <w:jc w:val="left"/>
      </w:pPr>
      <w:r>
        <w:rPr>
          <w:rFonts w:ascii="仿宋_GB2312" w:hAnsi="仿宋_GB2312" w:cs="仿宋_GB2312" w:eastAsia="仿宋_GB2312"/>
        </w:rPr>
        <w:t>响应文件应按照磋商文件第七章“响应文件格式与要求”进行编写，可以增加附页，并作为响应文件的组成部分。</w:t>
      </w:r>
    </w:p>
    <w:p>
      <w:pPr>
        <w:pStyle w:val="null5"/>
        <w:ind w:firstLine="480"/>
        <w:jc w:val="left"/>
      </w:pPr>
      <w:r>
        <w:rPr>
          <w:rFonts w:ascii="仿宋_GB2312" w:hAnsi="仿宋_GB2312" w:cs="仿宋_GB2312" w:eastAsia="仿宋_GB2312"/>
        </w:rPr>
        <w:t>2.报价</w:t>
      </w:r>
    </w:p>
    <w:p>
      <w:pPr>
        <w:pStyle w:val="null5"/>
        <w:ind w:firstLine="480"/>
        <w:jc w:val="left"/>
      </w:pPr>
      <w:r>
        <w:rPr>
          <w:rFonts w:ascii="仿宋_GB2312" w:hAnsi="仿宋_GB2312" w:cs="仿宋_GB2312" w:eastAsia="仿宋_GB2312"/>
        </w:rPr>
        <w:t>2.1供应商应按照磋商文件第三章“采购内容与技术要求”进行报价。报价中不得包含磋商文件要求以外的内容，否则，在评审时不予核减。</w:t>
      </w:r>
    </w:p>
    <w:p>
      <w:pPr>
        <w:pStyle w:val="null5"/>
        <w:ind w:firstLine="480"/>
        <w:jc w:val="left"/>
      </w:pPr>
      <w:r>
        <w:rPr>
          <w:rFonts w:ascii="仿宋_GB2312" w:hAnsi="仿宋_GB2312" w:cs="仿宋_GB2312" w:eastAsia="仿宋_GB2312"/>
        </w:rPr>
        <w:t>2.2报价包括本项目采购需求和投入使用、实施的所有费用，如主件、标准附件、备品备件、施工、服务、专用工具、安装、调试、检验、培训、运输、保险、税款等。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2.3报价不得有选择性报价和附有条件的报价。</w:t>
      </w:r>
    </w:p>
    <w:p>
      <w:pPr>
        <w:pStyle w:val="null5"/>
        <w:ind w:firstLine="480"/>
        <w:jc w:val="left"/>
      </w:pPr>
      <w:r>
        <w:rPr>
          <w:rFonts w:ascii="仿宋_GB2312" w:hAnsi="仿宋_GB2312" w:cs="仿宋_GB2312" w:eastAsia="仿宋_GB2312"/>
        </w:rPr>
        <w:t>2.4供应商应在“投标客户端”对【报价部分】进行填写，“投标客户端”软件将自动根据供应商填写信息在线生成“首轮报价表”、“分项报价表”，若在响应文件中出现非系统生成的“首轮报价表”、“分项报价表”，且与“投标客户端”生成的“首轮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3.响应文件的递交</w:t>
      </w:r>
    </w:p>
    <w:p>
      <w:pPr>
        <w:pStyle w:val="null5"/>
        <w:ind w:firstLine="480"/>
        <w:jc w:val="left"/>
      </w:pPr>
      <w:r>
        <w:rPr>
          <w:rFonts w:ascii="仿宋_GB2312" w:hAnsi="仿宋_GB2312" w:cs="仿宋_GB2312" w:eastAsia="仿宋_GB2312"/>
        </w:rPr>
        <w:t>供应商应当在提交响应文件截止时间前递交响应文件，否则视为自动放弃。</w:t>
      </w:r>
    </w:p>
    <w:p>
      <w:pPr>
        <w:pStyle w:val="null5"/>
        <w:ind w:firstLine="480"/>
        <w:jc w:val="left"/>
      </w:pPr>
      <w:r>
        <w:rPr>
          <w:rFonts w:ascii="仿宋_GB2312" w:hAnsi="仿宋_GB2312" w:cs="仿宋_GB2312" w:eastAsia="仿宋_GB2312"/>
        </w:rPr>
        <w:t>4.响应文件的补充、修改或者撤回</w:t>
      </w:r>
    </w:p>
    <w:p>
      <w:pPr>
        <w:pStyle w:val="null5"/>
        <w:ind w:firstLine="480"/>
        <w:jc w:val="left"/>
      </w:pPr>
      <w:r>
        <w:rPr>
          <w:rFonts w:ascii="仿宋_GB2312" w:hAnsi="仿宋_GB2312" w:cs="仿宋_GB2312" w:eastAsia="仿宋_GB2312"/>
        </w:rPr>
        <w:t>供应商在提交响应文件截止时间前，可以对所提交的响应文件进行补充、修改或者撤回。供应商应当在提交响应文件截止时间前上传加密的最终版电子响应文件至“内蒙古自治区政府采购网-政府采购云平台”。在提交响应文件截止时间后，供应商不得补充、修改或者撤回其响应文件。</w:t>
      </w:r>
    </w:p>
    <w:p>
      <w:pPr>
        <w:pStyle w:val="null5"/>
        <w:ind w:firstLine="480"/>
        <w:jc w:val="left"/>
      </w:pPr>
      <w:r>
        <w:rPr>
          <w:rFonts w:ascii="仿宋_GB2312" w:hAnsi="仿宋_GB2312" w:cs="仿宋_GB2312" w:eastAsia="仿宋_GB2312"/>
        </w:rPr>
        <w:t>5.样品</w:t>
      </w:r>
    </w:p>
    <w:p>
      <w:pPr>
        <w:pStyle w:val="null5"/>
        <w:ind w:firstLine="480"/>
        <w:jc w:val="left"/>
      </w:pPr>
      <w:r>
        <w:rPr>
          <w:rFonts w:ascii="仿宋_GB2312" w:hAnsi="仿宋_GB2312" w:cs="仿宋_GB2312" w:eastAsia="仿宋_GB2312"/>
        </w:rPr>
        <w:t>5.1磋商文件规定供应商提交样品的，样品属于响应文件的组成部分。样品的生产、运输、安装、保全等一切费用由供应商自理</w:t>
      </w:r>
    </w:p>
    <w:p>
      <w:pPr>
        <w:pStyle w:val="null5"/>
        <w:ind w:firstLine="480"/>
        <w:jc w:val="left"/>
      </w:pPr>
      <w:r>
        <w:rPr>
          <w:rFonts w:ascii="仿宋_GB2312" w:hAnsi="仿宋_GB2312" w:cs="仿宋_GB2312" w:eastAsia="仿宋_GB2312"/>
        </w:rPr>
        <w:t>5.2响应文件开启前，供应商应将样品送达至指定地点，按要求摆放并做好展示。若需要现场演示的，供应商应提前做好演示准备（包括演示设备）。</w:t>
      </w:r>
    </w:p>
    <w:p>
      <w:pPr>
        <w:pStyle w:val="null5"/>
        <w:ind w:firstLine="480"/>
        <w:jc w:val="left"/>
      </w:pPr>
      <w:r>
        <w:rPr>
          <w:rFonts w:ascii="仿宋_GB2312" w:hAnsi="仿宋_GB2312" w:cs="仿宋_GB2312" w:eastAsia="仿宋_GB2312"/>
        </w:rPr>
        <w:t>5.3采购活动结束后，对于未成交供应商提供的样品，应当及时退还或者经未成交供应商同意后自行处理；对于成交供应商提供的样品，应当按照磋商文件的规定进行保管、封存，并作为履约验收的参考。</w:t>
      </w:r>
    </w:p>
    <w:p>
      <w:pPr>
        <w:pStyle w:val="null5"/>
        <w:ind w:firstLine="480"/>
        <w:jc w:val="left"/>
      </w:pPr>
      <w:r>
        <w:rPr>
          <w:rFonts w:ascii="仿宋_GB2312" w:hAnsi="仿宋_GB2312" w:cs="仿宋_GB2312" w:eastAsia="仿宋_GB2312"/>
        </w:rPr>
        <w:t>六、开启、评审、结果公告、成交通知书</w:t>
      </w:r>
    </w:p>
    <w:p>
      <w:pPr>
        <w:pStyle w:val="null5"/>
        <w:ind w:firstLine="480"/>
        <w:jc w:val="left"/>
      </w:pPr>
      <w:r>
        <w:rPr>
          <w:rFonts w:ascii="仿宋_GB2312" w:hAnsi="仿宋_GB2312" w:cs="仿宋_GB2312" w:eastAsia="仿宋_GB2312"/>
        </w:rPr>
        <w:t>1.开启</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（3）供应商对已提交的加密文件进行解密，由采购人或者采购代理机构工作人员宣布供应商名称和磋商文件规定需要宣布的其他内容；</w:t>
      </w:r>
    </w:p>
    <w:p>
      <w:pPr>
        <w:pStyle w:val="null5"/>
        <w:ind w:firstLine="480"/>
        <w:jc w:val="left"/>
      </w:pPr>
      <w:r>
        <w:rPr>
          <w:rFonts w:ascii="仿宋_GB2312" w:hAnsi="仿宋_GB2312" w:cs="仿宋_GB2312" w:eastAsia="仿宋_GB2312"/>
        </w:rPr>
        <w:t>（4）参加人员对开启情况进行确认；</w:t>
      </w:r>
    </w:p>
    <w:p>
      <w:pPr>
        <w:pStyle w:val="null5"/>
        <w:ind w:firstLine="480"/>
        <w:jc w:val="left"/>
      </w:pPr>
      <w:r>
        <w:rPr>
          <w:rFonts w:ascii="仿宋_GB2312" w:hAnsi="仿宋_GB2312" w:cs="仿宋_GB2312" w:eastAsia="仿宋_GB2312"/>
        </w:rPr>
        <w:t>（5）开启结束。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供应商代表对开启过程和开启记录有疑义，以及认为采购人、采购代理机构相关工作人员有需要回避情形的，应当场提出询问或者回避申请。采购人、采购代理机构对供应商代表提出的询问或者回避申请应当及时处理。</w:t>
      </w:r>
    </w:p>
    <w:p>
      <w:pPr>
        <w:pStyle w:val="null5"/>
        <w:ind w:firstLine="480"/>
        <w:jc w:val="left"/>
      </w:pPr>
      <w:r>
        <w:rPr>
          <w:rFonts w:ascii="仿宋_GB2312" w:hAnsi="仿宋_GB2312" w:cs="仿宋_GB2312" w:eastAsia="仿宋_GB2312"/>
        </w:rPr>
        <w:t>供应商对远程不见面方式开启过程和记录有疑义，应在“政府采购云平台-远程开标大厅”中提出，采购代理机构应及时查看、回复。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w:t>
      </w:r>
    </w:p>
    <w:p>
      <w:pPr>
        <w:pStyle w:val="null5"/>
        <w:ind w:firstLine="480"/>
        <w:jc w:val="left"/>
      </w:pPr>
      <w:r>
        <w:rPr>
          <w:rFonts w:ascii="仿宋_GB2312" w:hAnsi="仿宋_GB2312" w:cs="仿宋_GB2312" w:eastAsia="仿宋_GB2312"/>
        </w:rPr>
        <w:t>开启时,供应商使用CA证书参与响应文件解密，供应商用于解密的CA证书应为生成、加密、上传响应文件的同一CA证书。</w:t>
      </w:r>
    </w:p>
    <w:p>
      <w:pPr>
        <w:pStyle w:val="null5"/>
        <w:ind w:firstLine="480"/>
        <w:jc w:val="left"/>
      </w:pPr>
      <w:r>
        <w:rPr>
          <w:rFonts w:ascii="仿宋_GB2312" w:hAnsi="仿宋_GB2312" w:cs="仿宋_GB2312" w:eastAsia="仿宋_GB2312"/>
        </w:rPr>
        <w:t>2.评审</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3.结果公告</w:t>
      </w:r>
    </w:p>
    <w:p>
      <w:pPr>
        <w:pStyle w:val="null5"/>
        <w:ind w:firstLine="480"/>
        <w:jc w:val="left"/>
      </w:pPr>
      <w:r>
        <w:rPr>
          <w:rFonts w:ascii="仿宋_GB2312" w:hAnsi="仿宋_GB2312" w:cs="仿宋_GB2312" w:eastAsia="仿宋_GB2312"/>
        </w:rPr>
        <w:t>成交供应商确定后，采购代理机构在内蒙古自治区政府采购网上发布成交结果公告，同时将成交结果以公告形式通知未成交的供应商，成交结果公告期为1个工作日。</w:t>
      </w:r>
    </w:p>
    <w:p>
      <w:pPr>
        <w:pStyle w:val="null5"/>
        <w:ind w:firstLine="480"/>
        <w:jc w:val="left"/>
      </w:pPr>
      <w:r>
        <w:rPr>
          <w:rFonts w:ascii="仿宋_GB2312" w:hAnsi="仿宋_GB2312" w:cs="仿宋_GB2312" w:eastAsia="仿宋_GB2312"/>
        </w:rPr>
        <w:t>项目“废标”后，采购代理机构将在内蒙古自治区政府采购网上发布“废标公告”。</w:t>
      </w:r>
    </w:p>
    <w:p>
      <w:pPr>
        <w:pStyle w:val="null5"/>
        <w:ind w:firstLine="480"/>
        <w:jc w:val="left"/>
      </w:pPr>
      <w:r>
        <w:rPr>
          <w:rFonts w:ascii="仿宋_GB2312" w:hAnsi="仿宋_GB2312" w:cs="仿宋_GB2312" w:eastAsia="仿宋_GB2312"/>
        </w:rPr>
        <w:t>4.成交通知书</w:t>
      </w:r>
    </w:p>
    <w:p>
      <w:pPr>
        <w:pStyle w:val="null5"/>
        <w:ind w:firstLine="480"/>
        <w:jc w:val="left"/>
      </w:pPr>
      <w:r>
        <w:rPr>
          <w:rFonts w:ascii="仿宋_GB2312" w:hAnsi="仿宋_GB2312" w:cs="仿宋_GB2312" w:eastAsia="仿宋_GB2312"/>
        </w:rPr>
        <w:t>发布成交结果的同时，成交供应商可自行登录“内蒙古自治区政府采购网--政府采购云平台”打印成交通知书，成交通知书是合同的组成部分，成交通知书对采购人和成交供应商具有同等法律效力。</w:t>
      </w:r>
    </w:p>
    <w:p>
      <w:pPr>
        <w:pStyle w:val="null5"/>
        <w:ind w:firstLine="480"/>
        <w:jc w:val="left"/>
      </w:pPr>
      <w:r>
        <w:rPr>
          <w:rFonts w:ascii="仿宋_GB2312" w:hAnsi="仿宋_GB2312" w:cs="仿宋_GB2312" w:eastAsia="仿宋_GB2312"/>
        </w:rPr>
        <w:t>成交通知书发出后，采购人不得违法改变成交结果，供应商无正当理由不得放弃成交。</w:t>
      </w:r>
    </w:p>
    <w:p>
      <w:pPr>
        <w:pStyle w:val="null5"/>
        <w:ind w:firstLine="480"/>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供应商对政府采购活动事项有疑问的，可以向采购人或采购代理机构提出询问，采购人或采购代理机构应当在3个工作日内作出答复，但答复的内容不得涉及商业秘密。供应商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2.1供应商认为采购文件、采购过程、成交结果使自己的权益受到损害的，可以在知道或者应知其权益受到损害之日起7个工作日内，以书面形式向采购人、采购代理机构提出质疑。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供应商在法定质疑期内应当一次性提出针对同一采购程序环节的质疑。</w:t>
      </w:r>
    </w:p>
    <w:p>
      <w:pPr>
        <w:pStyle w:val="null5"/>
        <w:ind w:firstLine="480"/>
        <w:jc w:val="left"/>
      </w:pPr>
      <w:r>
        <w:rPr>
          <w:rFonts w:ascii="仿宋_GB2312" w:hAnsi="仿宋_GB2312" w:cs="仿宋_GB2312" w:eastAsia="仿宋_GB2312"/>
        </w:rPr>
        <w:t>提出质疑的供应商应当是参与所质疑项目采购活动的供应商。</w:t>
      </w:r>
    </w:p>
    <w:p>
      <w:pPr>
        <w:pStyle w:val="null5"/>
        <w:ind w:firstLine="480"/>
        <w:jc w:val="left"/>
      </w:pPr>
      <w:r>
        <w:rPr>
          <w:rFonts w:ascii="仿宋_GB2312" w:hAnsi="仿宋_GB2312" w:cs="仿宋_GB2312" w:eastAsia="仿宋_GB2312"/>
        </w:rPr>
        <w:t>潜在供应商已依法获取其可质疑的采购文件的，可以对该文件提出质疑。对采购文件提出质疑的，应当在获取采购文件或者采购文件公告期限届满之日起7个工作日内提出。</w:t>
      </w:r>
    </w:p>
    <w:p>
      <w:pPr>
        <w:pStyle w:val="null5"/>
        <w:ind w:firstLine="480"/>
        <w:jc w:val="left"/>
      </w:pPr>
      <w:r>
        <w:rPr>
          <w:rFonts w:ascii="仿宋_GB2312" w:hAnsi="仿宋_GB2312" w:cs="仿宋_GB2312" w:eastAsia="仿宋_GB2312"/>
        </w:rPr>
        <w:t>2.2采购人、采购代理机构应当在收到供应商的书面质疑后7个工作日内作出答复，并以书面形式通知质疑供应商和其他有关供应商，但答复的内容不得涉及商业秘密。</w:t>
      </w:r>
    </w:p>
    <w:p>
      <w:pPr>
        <w:pStyle w:val="null5"/>
        <w:ind w:firstLine="480"/>
        <w:jc w:val="left"/>
      </w:pPr>
      <w:r>
        <w:rPr>
          <w:rFonts w:ascii="仿宋_GB2312" w:hAnsi="仿宋_GB2312" w:cs="仿宋_GB2312" w:eastAsia="仿宋_GB2312"/>
        </w:rPr>
        <w:t>2.3询问或者质疑事项可能影响成交结果的，采购人应当暂停签订合同，已经签订合同的，应当中止履行合同。</w:t>
      </w:r>
    </w:p>
    <w:p>
      <w:pPr>
        <w:pStyle w:val="null5"/>
        <w:ind w:firstLine="480"/>
        <w:jc w:val="left"/>
      </w:pPr>
      <w:r>
        <w:rPr>
          <w:rFonts w:ascii="仿宋_GB2312" w:hAnsi="仿宋_GB2312" w:cs="仿宋_GB2312" w:eastAsia="仿宋_GB2312"/>
        </w:rPr>
        <w:t>2.4供应商提出质疑应当提交质疑函和必要的证明材料。质疑函应当包括下列内容：</w:t>
      </w:r>
    </w:p>
    <w:p>
      <w:pPr>
        <w:pStyle w:val="null5"/>
        <w:ind w:firstLine="480"/>
        <w:jc w:val="left"/>
      </w:pPr>
      <w:r>
        <w:rPr>
          <w:rFonts w:ascii="仿宋_GB2312" w:hAnsi="仿宋_GB2312" w:cs="仿宋_GB2312" w:eastAsia="仿宋_GB2312"/>
        </w:rPr>
        <w:t>（一）供应商的姓名或者名称、地址、邮编、联系人及联系电话；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供应商为自然人的，应当由本人签字；供应商为法人或者其他组织的，应当由法定代表人、主要负责人，或者其授权代表签字或者盖章，并加盖公章。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供应商可以委托代理人进行质疑，代理人提出质疑时应当提交供应商签署的授权委托书。其授权委托书应当载明代理人的姓名或者名称、代理事项、具体权限、期限和相关事项。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2.5供应商提交的质疑函，应按照内蒙古自治区政府采购网中的“质疑函范本”制作。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供应商投诉的事项不得超出已质疑事项的范围，但基于质疑答复内容提出的投诉事项除外。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3.2投诉人投诉时，应当提交投诉书和必要的证明材料，并按照被投诉采购人、采购代理机构（以下简称被投诉人）和与投诉事项有关的供应商数量提供投诉书的副本。投诉书应当包括下列内容：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采购内容与技术要求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界线编辑、图斑区划、调查核实、属性录入、成果制作</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合同签订后30天内完成</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土默特左旗林业和草原局</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1、提交报告后通过甲方审核后支付合同金额的50%，达到付款条件起30日，支付合同总金额的50.00%</w:t>
            </w:r>
          </w:p>
          <w:p>
            <w:pPr>
              <w:pStyle w:val="null5"/>
              <w:jc w:val="left"/>
            </w:pPr>
            <w:r>
              <w:rPr>
                <w:rFonts w:ascii="仿宋_GB2312" w:hAnsi="仿宋_GB2312" w:cs="仿宋_GB2312" w:eastAsia="仿宋_GB2312"/>
              </w:rPr>
              <w:t>2、审查入库合格后，达到付款条件起30日，支付合同总金额的50.00%</w:t>
            </w:r>
          </w:p>
        </w:tc>
      </w:tr>
    </w:tbl>
    <w:p>
      <w:pPr>
        <w:pStyle w:val="null5"/>
        <w:ind w:firstLine="480"/>
        <w:jc w:val="both"/>
      </w:pPr>
      <w:r>
        <w:rPr>
          <w:rFonts w:ascii="仿宋_GB2312" w:hAnsi="仿宋_GB2312" w:cs="仿宋_GB2312" w:eastAsia="仿宋_GB2312"/>
        </w:rPr>
        <w:t>2.主要技术要求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标的名称：林草湿荒普查</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spacing w:before="45"/>
              <w:ind w:left="600"/>
              <w:jc w:val="left"/>
            </w:pPr>
            <w:r>
              <w:rPr>
                <w:rFonts w:ascii="仿宋_GB2312" w:hAnsi="仿宋_GB2312" w:cs="仿宋_GB2312" w:eastAsia="仿宋_GB2312"/>
                <w:sz w:val="21"/>
                <w:color w:val="000000"/>
              </w:rPr>
              <w:t>界线编辑、图斑区划、调查核实、</w:t>
            </w:r>
            <w:r>
              <w:rPr>
                <w:rFonts w:ascii="仿宋_GB2312" w:hAnsi="仿宋_GB2312" w:cs="仿宋_GB2312" w:eastAsia="仿宋_GB2312"/>
                <w:sz w:val="21"/>
                <w:color w:val="000000"/>
              </w:rPr>
              <w:t>属性录入、</w:t>
            </w:r>
            <w:r>
              <w:rPr>
                <w:rFonts w:ascii="仿宋_GB2312" w:hAnsi="仿宋_GB2312" w:cs="仿宋_GB2312" w:eastAsia="仿宋_GB2312"/>
                <w:sz w:val="21"/>
                <w:color w:val="000000"/>
              </w:rPr>
              <w:t>成果制作。具体如下：</w:t>
            </w:r>
          </w:p>
          <w:p>
            <w:pPr>
              <w:pStyle w:val="null5"/>
              <w:spacing w:before="45"/>
              <w:ind w:left="600"/>
              <w:jc w:val="left"/>
            </w:pPr>
            <w:r>
              <w:rPr>
                <w:rFonts w:ascii="仿宋_GB2312" w:hAnsi="仿宋_GB2312" w:cs="仿宋_GB2312" w:eastAsia="仿宋_GB2312"/>
                <w:sz w:val="21"/>
                <w:color w:val="000000"/>
              </w:rPr>
              <w:t>以最新年度国土变更调查成果为基础，参考有关调查成果，基于数字正射影像图，开展图斑区划。采取样地调查、遥感监测、档案更新、补充调查、现地核实等多种方法，摸清林草湿资源数量、质量、结构等情况，荒漠化沙化土地的类型面积、程度、分布、治理情况，按照《自然资源部国家林业和草原局关于以第三次全国国土调查成果为基础明确林地管理边界规范林地管理的通知》</w:t>
            </w:r>
            <w:r>
              <w:rPr>
                <w:rFonts w:ascii="仿宋_GB2312" w:hAnsi="仿宋_GB2312" w:cs="仿宋_GB2312" w:eastAsia="仿宋_GB2312"/>
                <w:sz w:val="21"/>
                <w:color w:val="000000"/>
              </w:rPr>
              <w:t>(自然资发(2023)53号)、《内蒙古自治区自然资源厅 内蒙古自治区林业和草原局内蒙古自治区农牧厅关于以第三次全国国土调查成果为基础明确草地管理边界规范林地管理的通知》(内自然资发(2024)5号)落实管理属性和管理边界。以统一地类对接完成后的年度国土变更调查成果中的二级地类图斑为基础，调查并标记可造林绿化的图斑。地方按照统一的数据库标准和建库规范，建设森林草原湿地荒漠化普查数据库并逐级汇交。对于需形成总体面积的调查监测指标，采用内外业结合的图斑调绘方法开展全面调查，其他指标可采用抽样方法调查。</w:t>
            </w:r>
          </w:p>
          <w:p>
            <w:pPr>
              <w:pStyle w:val="null5"/>
              <w:spacing w:before="45"/>
              <w:ind w:left="600"/>
              <w:jc w:val="left"/>
            </w:pPr>
            <w:r>
              <w:rPr>
                <w:rFonts w:ascii="仿宋_GB2312" w:hAnsi="仿宋_GB2312" w:cs="仿宋_GB2312" w:eastAsia="仿宋_GB2312"/>
                <w:sz w:val="21"/>
                <w:color w:val="000000"/>
              </w:rPr>
              <w:t>汇总分析。基于数据库，汇集和处理调查数据，开展森林草原湿地保护利用状况、森林草原湿地植被状况、生产力状况和荒漠化沙化及沙化土地治理情况分析，编制森林草原湿地荒漠化普查报告，制作专题图件，产出森林草原湿地荒漠化普查成果，形成国土绿化空间基础数据。</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供应商应当提交的资格、资信证明文件</w:t>
      </w:r>
    </w:p>
    <w:p>
      <w:pPr>
        <w:pStyle w:val="null5"/>
        <w:ind w:firstLine="480"/>
        <w:jc w:val="left"/>
      </w:pPr>
      <w:r>
        <w:rPr>
          <w:rFonts w:ascii="仿宋_GB2312" w:hAnsi="仿宋_GB2312" w:cs="仿宋_GB2312" w:eastAsia="仿宋_GB2312"/>
        </w:rPr>
        <w:t>供应商应提交证明其有资格参加磋商和成交后有能力履行合同的相关文件，并作为其响应文件的一部分，所有文件必须真实可靠、不得伪造，否则将按相关规定予以处罚。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法人包括企业法人、机关法人、事业单位法人和社会团体法人；其他组织主要包括合伙企业、非企业专业服务机构、个体工商户、农村承包经营户；自然人是指具有完全民事行为能力、能够承担民事责任和义务的公民。如供应商是企业（包括合伙企业），要提供在市场监督管理部门注册的有效“企业法人营业执照”或“营业执照”；如供应商是事业单位，要提供有效的“事业单位法人证书”；供应商是非企业专业服务机构，如律师事务所、会计师事务所，要提供有效的执业许可证等证明文件；如供应商是个体工商户，要提供有效的“个体工商户营业执照”；如供应商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分公司不是独立法人，不具备政府采购法第二十二条规定的供应商应当具备独立承担民事责任能力的条件。分公司经总公司授权，可以以分公司的名义参加政府采购活动，但其民事责任由总公司承担。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五、按照磋商文件要求，供应商应当提交的其他资格、资信证明文件。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评审</w:t>
      </w:r>
    </w:p>
    <w:p>
      <w:pPr>
        <w:pStyle w:val="null5"/>
        <w:jc w:val="left"/>
        <w:outlineLvl w:val="2"/>
      </w:pPr>
      <w:r>
        <w:rPr>
          <w:rFonts w:ascii="仿宋_GB2312" w:hAnsi="仿宋_GB2312" w:cs="仿宋_GB2312" w:eastAsia="仿宋_GB2312"/>
          <w:sz w:val="28"/>
          <w:b/>
        </w:rPr>
        <w:t>一.评审要求</w:t>
      </w:r>
    </w:p>
    <w:p>
      <w:pPr>
        <w:pStyle w:val="null5"/>
        <w:ind w:firstLine="480"/>
        <w:jc w:val="left"/>
      </w:pPr>
      <w:r>
        <w:rPr>
          <w:rFonts w:ascii="仿宋_GB2312" w:hAnsi="仿宋_GB2312" w:cs="仿宋_GB2312" w:eastAsia="仿宋_GB2312"/>
        </w:rPr>
        <w:t>1.评审方法</w:t>
      </w:r>
    </w:p>
    <w:p>
      <w:pPr>
        <w:pStyle w:val="null5"/>
        <w:ind w:firstLine="480"/>
        <w:jc w:val="left"/>
      </w:pPr>
      <w:r>
        <w:rPr>
          <w:rFonts w:ascii="仿宋_GB2312" w:hAnsi="仿宋_GB2312" w:cs="仿宋_GB2312" w:eastAsia="仿宋_GB2312"/>
        </w:rPr>
        <w:t>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5"/>
        <w:ind w:firstLine="480"/>
        <w:jc w:val="left"/>
      </w:pPr>
      <w:r>
        <w:rPr>
          <w:rFonts w:ascii="仿宋_GB2312" w:hAnsi="仿宋_GB2312" w:cs="仿宋_GB2312" w:eastAsia="仿宋_GB2312"/>
        </w:rPr>
        <w:t>2.评审原则</w:t>
      </w:r>
    </w:p>
    <w:p>
      <w:pPr>
        <w:pStyle w:val="null5"/>
        <w:ind w:firstLine="480"/>
        <w:jc w:val="left"/>
      </w:pPr>
      <w:r>
        <w:rPr>
          <w:rFonts w:ascii="仿宋_GB2312" w:hAnsi="仿宋_GB2312" w:cs="仿宋_GB2312" w:eastAsia="仿宋_GB2312"/>
        </w:rPr>
        <w:t>2.1磋商小组成员应当遵循客观、公正、审慎的原则，根据磋商文件规定的评审程序、评审方法和评审标准进行独立评审。</w:t>
      </w:r>
    </w:p>
    <w:p>
      <w:pPr>
        <w:pStyle w:val="null5"/>
        <w:ind w:firstLine="480"/>
        <w:jc w:val="left"/>
      </w:pPr>
      <w:r>
        <w:rPr>
          <w:rFonts w:ascii="仿宋_GB2312" w:hAnsi="仿宋_GB2312" w:cs="仿宋_GB2312" w:eastAsia="仿宋_GB2312"/>
        </w:rPr>
        <w:t>2.2具体评审事项由磋商小组负责，并按磋商文件规定的办法进行评审。</w:t>
      </w:r>
    </w:p>
    <w:p>
      <w:pPr>
        <w:pStyle w:val="null5"/>
        <w:ind w:firstLine="480"/>
        <w:jc w:val="left"/>
      </w:pPr>
      <w:r>
        <w:rPr>
          <w:rFonts w:ascii="仿宋_GB2312" w:hAnsi="仿宋_GB2312" w:cs="仿宋_GB2312" w:eastAsia="仿宋_GB2312"/>
        </w:rPr>
        <w:t>3.磋商小组</w:t>
      </w:r>
    </w:p>
    <w:p>
      <w:pPr>
        <w:pStyle w:val="null5"/>
        <w:ind w:firstLine="480"/>
        <w:jc w:val="left"/>
      </w:pPr>
      <w:r>
        <w:rPr>
          <w:rFonts w:ascii="仿宋_GB2312" w:hAnsi="仿宋_GB2312" w:cs="仿宋_GB2312" w:eastAsia="仿宋_GB2312"/>
        </w:rPr>
        <w:t>3.1磋商小组由采购人代表和评审专家共3人以上单数组成，其中评审专家人数不得少于磋商小组成员总数的2/3。</w:t>
      </w:r>
    </w:p>
    <w:p>
      <w:pPr>
        <w:pStyle w:val="null5"/>
        <w:ind w:firstLine="480"/>
        <w:jc w:val="left"/>
      </w:pPr>
      <w:r>
        <w:rPr>
          <w:rFonts w:ascii="仿宋_GB2312" w:hAnsi="仿宋_GB2312" w:cs="仿宋_GB2312" w:eastAsia="仿宋_GB2312"/>
        </w:rPr>
        <w:t>3.2磋商小组成员有下列情形之一的，应当回避：</w:t>
      </w:r>
    </w:p>
    <w:p>
      <w:pPr>
        <w:pStyle w:val="null5"/>
        <w:ind w:firstLine="480"/>
        <w:jc w:val="left"/>
      </w:pPr>
      <w:r>
        <w:rPr>
          <w:rFonts w:ascii="仿宋_GB2312" w:hAnsi="仿宋_GB2312" w:cs="仿宋_GB2312" w:eastAsia="仿宋_GB2312"/>
        </w:rPr>
        <w:t>（1）参加政府采购活动前3年内,与供应商存在劳动关系,或者担任过供应商的董事、监事,或者是供应商的控股股东或实际控制人；</w:t>
      </w:r>
    </w:p>
    <w:p>
      <w:pPr>
        <w:pStyle w:val="null5"/>
        <w:ind w:firstLine="480"/>
        <w:jc w:val="left"/>
      </w:pPr>
      <w:r>
        <w:rPr>
          <w:rFonts w:ascii="仿宋_GB2312" w:hAnsi="仿宋_GB2312" w:cs="仿宋_GB2312" w:eastAsia="仿宋_GB2312"/>
        </w:rPr>
        <w:t>（2）与供应商的法定代表人或者负责人有夫妻、直系血亲、三代以内旁系血亲或者近姻亲关系；</w:t>
      </w:r>
    </w:p>
    <w:p>
      <w:pPr>
        <w:pStyle w:val="null5"/>
        <w:ind w:firstLine="480"/>
        <w:jc w:val="left"/>
      </w:pPr>
      <w:r>
        <w:rPr>
          <w:rFonts w:ascii="仿宋_GB2312" w:hAnsi="仿宋_GB2312" w:cs="仿宋_GB2312" w:eastAsia="仿宋_GB2312"/>
        </w:rPr>
        <w:t>（3）与供应商有其他可能影响政府采购活动公平、公正进行的关系；</w:t>
      </w:r>
    </w:p>
    <w:p>
      <w:pPr>
        <w:pStyle w:val="null5"/>
        <w:ind w:firstLine="480"/>
        <w:jc w:val="left"/>
      </w:pPr>
      <w:r>
        <w:rPr>
          <w:rFonts w:ascii="仿宋_GB2312" w:hAnsi="仿宋_GB2312" w:cs="仿宋_GB2312" w:eastAsia="仿宋_GB2312"/>
        </w:rPr>
        <w:t>3.3磋商小组负责具体评审事务，并独立履行下列职责：</w:t>
      </w:r>
    </w:p>
    <w:p>
      <w:pPr>
        <w:pStyle w:val="null5"/>
        <w:ind w:firstLine="480"/>
        <w:jc w:val="left"/>
      </w:pPr>
      <w:r>
        <w:rPr>
          <w:rFonts w:ascii="仿宋_GB2312" w:hAnsi="仿宋_GB2312" w:cs="仿宋_GB2312" w:eastAsia="仿宋_GB2312"/>
        </w:rPr>
        <w:t>（1）对响应文件的有效性、完整性和响应程度进行审查；</w:t>
      </w:r>
    </w:p>
    <w:p>
      <w:pPr>
        <w:pStyle w:val="null5"/>
        <w:ind w:firstLine="480"/>
        <w:jc w:val="left"/>
      </w:pPr>
      <w:r>
        <w:rPr>
          <w:rFonts w:ascii="仿宋_GB2312" w:hAnsi="仿宋_GB2312" w:cs="仿宋_GB2312" w:eastAsia="仿宋_GB2312"/>
        </w:rPr>
        <w:t>（2）要求供应商对响应文件有关事项作出澄清、说明或更正；</w:t>
      </w:r>
    </w:p>
    <w:p>
      <w:pPr>
        <w:pStyle w:val="null5"/>
        <w:ind w:firstLine="480"/>
        <w:jc w:val="left"/>
      </w:pPr>
      <w:r>
        <w:rPr>
          <w:rFonts w:ascii="仿宋_GB2312" w:hAnsi="仿宋_GB2312" w:cs="仿宋_GB2312" w:eastAsia="仿宋_GB2312"/>
        </w:rPr>
        <w:t>（3）磋商小组所有成员应当集中与单一供应商分别进行磋商；</w:t>
      </w:r>
    </w:p>
    <w:p>
      <w:pPr>
        <w:pStyle w:val="null5"/>
        <w:ind w:firstLine="480"/>
        <w:jc w:val="left"/>
      </w:pPr>
      <w:r>
        <w:rPr>
          <w:rFonts w:ascii="仿宋_GB2312" w:hAnsi="仿宋_GB2312" w:cs="仿宋_GB2312" w:eastAsia="仿宋_GB2312"/>
        </w:rPr>
        <w:t>（4）对响应文件进行比较和评价；</w:t>
      </w:r>
    </w:p>
    <w:p>
      <w:pPr>
        <w:pStyle w:val="null5"/>
        <w:ind w:firstLine="480"/>
        <w:jc w:val="left"/>
      </w:pPr>
      <w:r>
        <w:rPr>
          <w:rFonts w:ascii="仿宋_GB2312" w:hAnsi="仿宋_GB2312" w:cs="仿宋_GB2312" w:eastAsia="仿宋_GB2312"/>
        </w:rPr>
        <w:t>（5）确定成交候选人名单，以及根据采购人委托直接确定成交供应商；</w:t>
      </w:r>
    </w:p>
    <w:p>
      <w:pPr>
        <w:pStyle w:val="null5"/>
        <w:ind w:firstLine="480"/>
        <w:jc w:val="left"/>
      </w:pPr>
      <w:r>
        <w:rPr>
          <w:rFonts w:ascii="仿宋_GB2312" w:hAnsi="仿宋_GB2312" w:cs="仿宋_GB2312" w:eastAsia="仿宋_GB2312"/>
        </w:rPr>
        <w:t>（6）向采购人、采购代理机构或者有关部门报告评审中发现的违法行为；</w:t>
      </w:r>
    </w:p>
    <w:p>
      <w:pPr>
        <w:pStyle w:val="null5"/>
        <w:ind w:firstLine="480"/>
        <w:jc w:val="left"/>
      </w:pPr>
      <w:r>
        <w:rPr>
          <w:rFonts w:ascii="仿宋_GB2312" w:hAnsi="仿宋_GB2312" w:cs="仿宋_GB2312" w:eastAsia="仿宋_GB2312"/>
        </w:rPr>
        <w:t>（7）法律法规规定的其他职责。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5"/>
        <w:ind w:firstLine="480"/>
        <w:jc w:val="left"/>
      </w:pPr>
      <w:r>
        <w:rPr>
          <w:rFonts w:ascii="仿宋_GB2312" w:hAnsi="仿宋_GB2312" w:cs="仿宋_GB2312" w:eastAsia="仿宋_GB2312"/>
        </w:rPr>
        <w:t>磋商小组要求供应商澄清、说明或者更正响应文件应当以书面形式作出。供应商的澄清、说明或者更正应当由法定代表人或其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4.1磋商小组不接受供应商主动提出的澄清、说明或更正。</w:t>
      </w:r>
    </w:p>
    <w:p>
      <w:pPr>
        <w:pStyle w:val="null5"/>
        <w:ind w:firstLine="480"/>
        <w:jc w:val="left"/>
      </w:pPr>
      <w:r>
        <w:rPr>
          <w:rFonts w:ascii="仿宋_GB2312" w:hAnsi="仿宋_GB2312" w:cs="仿宋_GB2312" w:eastAsia="仿宋_GB2312"/>
        </w:rPr>
        <w:t>4.2磋商小组对供应商提交的澄清、说明或更正有疑问的，可以要求供应商进一步澄清、说明或更正。</w:t>
      </w:r>
    </w:p>
    <w:p>
      <w:pPr>
        <w:pStyle w:val="null5"/>
        <w:ind w:firstLine="480"/>
        <w:jc w:val="left"/>
      </w:pPr>
      <w:r>
        <w:rPr>
          <w:rFonts w:ascii="仿宋_GB2312" w:hAnsi="仿宋_GB2312" w:cs="仿宋_GB2312" w:eastAsia="仿宋_GB2312"/>
        </w:rPr>
        <w:t>5.有下列情形之一的，属于恶意串通，并追究法律责任：</w:t>
      </w:r>
    </w:p>
    <w:p>
      <w:pPr>
        <w:pStyle w:val="null5"/>
        <w:ind w:firstLine="480"/>
        <w:jc w:val="left"/>
      </w:pPr>
      <w:r>
        <w:rPr>
          <w:rFonts w:ascii="仿宋_GB2312" w:hAnsi="仿宋_GB2312" w:cs="仿宋_GB2312" w:eastAsia="仿宋_GB2312"/>
        </w:rPr>
        <w:t>（1）供应商直接或者间接从采购人或者采购代理机构处获得其他供应商的相关情况并修改其响应文件；</w:t>
      </w:r>
    </w:p>
    <w:p>
      <w:pPr>
        <w:pStyle w:val="null5"/>
        <w:ind w:firstLine="480"/>
        <w:jc w:val="left"/>
      </w:pPr>
      <w:r>
        <w:rPr>
          <w:rFonts w:ascii="仿宋_GB2312" w:hAnsi="仿宋_GB2312" w:cs="仿宋_GB2312" w:eastAsia="仿宋_GB2312"/>
        </w:rPr>
        <w:t>（2）供应商按照采购人或者采购代理机构的授意撤换、修改响应文件；</w:t>
      </w:r>
    </w:p>
    <w:p>
      <w:pPr>
        <w:pStyle w:val="null5"/>
        <w:ind w:firstLine="480"/>
        <w:jc w:val="left"/>
      </w:pPr>
      <w:r>
        <w:rPr>
          <w:rFonts w:ascii="仿宋_GB2312" w:hAnsi="仿宋_GB2312" w:cs="仿宋_GB2312" w:eastAsia="仿宋_GB2312"/>
        </w:rPr>
        <w:t>（3）供应商之间协商报价、技术方案等响应文件的实质性内容；</w:t>
      </w:r>
    </w:p>
    <w:p>
      <w:pPr>
        <w:pStyle w:val="null5"/>
        <w:ind w:firstLine="480"/>
        <w:jc w:val="left"/>
      </w:pPr>
      <w:r>
        <w:rPr>
          <w:rFonts w:ascii="仿宋_GB2312" w:hAnsi="仿宋_GB2312" w:cs="仿宋_GB2312" w:eastAsia="仿宋_GB2312"/>
        </w:rPr>
        <w:t>（4）属于同一集团、协会、商会等组织成员的供应商按照该组织要求协同参加政府采购活动；</w:t>
      </w:r>
    </w:p>
    <w:p>
      <w:pPr>
        <w:pStyle w:val="null5"/>
        <w:ind w:firstLine="480"/>
        <w:jc w:val="left"/>
      </w:pPr>
      <w:r>
        <w:rPr>
          <w:rFonts w:ascii="仿宋_GB2312" w:hAnsi="仿宋_GB2312" w:cs="仿宋_GB2312" w:eastAsia="仿宋_GB2312"/>
        </w:rPr>
        <w:t>（5）供应商之间事先约定由某一特定供应商成交；</w:t>
      </w:r>
    </w:p>
    <w:p>
      <w:pPr>
        <w:pStyle w:val="null5"/>
        <w:ind w:firstLine="480"/>
        <w:jc w:val="left"/>
      </w:pPr>
      <w:r>
        <w:rPr>
          <w:rFonts w:ascii="仿宋_GB2312" w:hAnsi="仿宋_GB2312" w:cs="仿宋_GB2312" w:eastAsia="仿宋_GB2312"/>
        </w:rPr>
        <w:t>（6）供应商之间商定部分供应商放弃参加政府采购活动或者放弃成交；</w:t>
      </w:r>
    </w:p>
    <w:p>
      <w:pPr>
        <w:pStyle w:val="null5"/>
        <w:ind w:firstLine="480"/>
        <w:jc w:val="left"/>
      </w:pPr>
      <w:r>
        <w:rPr>
          <w:rFonts w:ascii="仿宋_GB2312" w:hAnsi="仿宋_GB2312" w:cs="仿宋_GB2312" w:eastAsia="仿宋_GB2312"/>
        </w:rPr>
        <w:t>（7）供应商与采购人或者采购代理机构之间、供应商相互之间，为谋求特定供应商成交或者排斥其他供应商的其他串通行为。</w:t>
      </w:r>
    </w:p>
    <w:p>
      <w:pPr>
        <w:pStyle w:val="null5"/>
        <w:ind w:firstLine="480"/>
        <w:jc w:val="left"/>
      </w:pPr>
      <w:r>
        <w:rPr>
          <w:rFonts w:ascii="仿宋_GB2312" w:hAnsi="仿宋_GB2312" w:cs="仿宋_GB2312" w:eastAsia="仿宋_GB2312"/>
        </w:rPr>
        <w:t>6.响应无效的情形</w:t>
      </w:r>
    </w:p>
    <w:p>
      <w:pPr>
        <w:pStyle w:val="null5"/>
        <w:ind w:firstLine="480"/>
        <w:jc w:val="left"/>
      </w:pPr>
      <w:r>
        <w:rPr>
          <w:rFonts w:ascii="仿宋_GB2312" w:hAnsi="仿宋_GB2312" w:cs="仿宋_GB2312" w:eastAsia="仿宋_GB2312"/>
        </w:rPr>
        <w:t>（1）供应商未按照磋商文件要求提交磋商保证金的，响应无效；</w:t>
      </w:r>
    </w:p>
    <w:p>
      <w:pPr>
        <w:pStyle w:val="null5"/>
        <w:ind w:firstLine="480"/>
        <w:jc w:val="left"/>
      </w:pPr>
      <w:r>
        <w:rPr>
          <w:rFonts w:ascii="仿宋_GB2312" w:hAnsi="仿宋_GB2312" w:cs="仿宋_GB2312" w:eastAsia="仿宋_GB2312"/>
        </w:rPr>
        <w:t>（2）在提交响应文件截止时间后递交响应文件的，响应无效；</w:t>
      </w:r>
    </w:p>
    <w:p>
      <w:pPr>
        <w:pStyle w:val="null5"/>
        <w:ind w:firstLine="480"/>
        <w:jc w:val="left"/>
      </w:pPr>
      <w:r>
        <w:rPr>
          <w:rFonts w:ascii="仿宋_GB2312" w:hAnsi="仿宋_GB2312" w:cs="仿宋_GB2312" w:eastAsia="仿宋_GB2312"/>
        </w:rPr>
        <w:t>（3）未实质性响应磋商文件的，响应无效；</w:t>
      </w:r>
    </w:p>
    <w:p>
      <w:pPr>
        <w:pStyle w:val="null5"/>
        <w:ind w:firstLine="480"/>
        <w:jc w:val="left"/>
      </w:pPr>
      <w:r>
        <w:rPr>
          <w:rFonts w:ascii="仿宋_GB2312" w:hAnsi="仿宋_GB2312" w:cs="仿宋_GB2312" w:eastAsia="仿宋_GB2312"/>
        </w:rPr>
        <w:t>（4）法律、法规和磋商文件规定的其他无效情形。</w:t>
      </w:r>
    </w:p>
    <w:p>
      <w:pPr>
        <w:pStyle w:val="null5"/>
        <w:ind w:firstLine="480"/>
        <w:jc w:val="left"/>
      </w:pPr>
      <w:r>
        <w:rPr>
          <w:rFonts w:ascii="仿宋_GB2312" w:hAnsi="仿宋_GB2312" w:cs="仿宋_GB2312" w:eastAsia="仿宋_GB2312"/>
        </w:rPr>
        <w:t>7.终止的情形</w:t>
      </w:r>
    </w:p>
    <w:p>
      <w:pPr>
        <w:pStyle w:val="null5"/>
        <w:ind w:firstLine="480"/>
        <w:jc w:val="left"/>
      </w:pPr>
      <w:r>
        <w:rPr>
          <w:rFonts w:ascii="仿宋_GB2312" w:hAnsi="仿宋_GB2312" w:cs="仿宋_GB2312" w:eastAsia="仿宋_GB2312"/>
        </w:rPr>
        <w:t>出现下列情形之一的，采购人或者采购代理机构应当终止竞争性磋商采购活动，发布公告并说明原因，重新开展采购活动：</w:t>
      </w:r>
    </w:p>
    <w:p>
      <w:pPr>
        <w:pStyle w:val="null5"/>
        <w:ind w:firstLine="480"/>
        <w:jc w:val="left"/>
      </w:pPr>
      <w:r>
        <w:rPr>
          <w:rFonts w:ascii="仿宋_GB2312" w:hAnsi="仿宋_GB2312" w:cs="仿宋_GB2312" w:eastAsia="仿宋_GB2312"/>
        </w:rPr>
        <w:t>（1）因情况变化，不再符合规定的竞争性磋商采购方式适用情形的；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（3）除《政府采购竞争性磋商采购方式管理暂行办法》及其补充通知规定的情形外，在采购过程中符合要求的供应商或者报价未超过采购预算的供应商不足3家的。</w:t>
      </w:r>
    </w:p>
    <w:p>
      <w:pPr>
        <w:pStyle w:val="null5"/>
        <w:ind w:firstLine="480"/>
        <w:jc w:val="left"/>
      </w:pPr>
      <w:r>
        <w:rPr>
          <w:rFonts w:ascii="仿宋_GB2312" w:hAnsi="仿宋_GB2312" w:cs="仿宋_GB2312" w:eastAsia="仿宋_GB2312"/>
        </w:rPr>
        <w:t>（4）法律、法规以及磋商文件规定的其他情形。</w:t>
      </w:r>
    </w:p>
    <w:p>
      <w:pPr>
        <w:pStyle w:val="null5"/>
        <w:ind w:firstLine="480"/>
        <w:jc w:val="left"/>
      </w:pPr>
      <w:r>
        <w:rPr>
          <w:rFonts w:ascii="仿宋_GB2312" w:hAnsi="仿宋_GB2312" w:cs="仿宋_GB2312" w:eastAsia="仿宋_GB2312"/>
        </w:rPr>
        <w:t>8.成交</w:t>
      </w:r>
    </w:p>
    <w:p>
      <w:pPr>
        <w:pStyle w:val="null5"/>
        <w:ind w:firstLine="480"/>
        <w:jc w:val="left"/>
      </w:pPr>
      <w:r>
        <w:rPr>
          <w:rFonts w:ascii="仿宋_GB2312" w:hAnsi="仿宋_GB2312" w:cs="仿宋_GB2312" w:eastAsia="仿宋_GB2312"/>
        </w:rPr>
        <w:t>评审结束后，磋商小组根据采购人书面授权直接确定成交供应商或者由采购人从评审报告提出的成交候选供应商中按顺序确定成交供应商。</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2.3在政府采购活动中，供应商提供的货物、工程或者服务符合下列情形的，享受《政府采购促进中小企业发展管理办法》规定的中小企业扶持政策：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在货物采购项目中，供应商提供的货物既有中小企业制造货物，也有大型企业制造货物的，不享受《政府采购促进中小企业发展管理办法》规定的中小企业扶持政策。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民政部中国残疾人联合会关于促进残疾人就业政府采购政策的通知》的规定，凡符合要求的小型、微型企业、监狱企业或残疾人福利性单位，按照以下比例给予相应的价格扣除：【相应的价格扣除磋商】</w:t>
      </w:r>
    </w:p>
    <w:p>
      <w:pPr>
        <w:pStyle w:val="null5"/>
        <w:ind w:firstLine="480"/>
        <w:jc w:val="left"/>
      </w:pPr>
      <w:r>
        <w:rPr>
          <w:rFonts w:ascii="仿宋_GB2312" w:hAnsi="仿宋_GB2312" w:cs="仿宋_GB2312" w:eastAsia="仿宋_GB2312"/>
        </w:rPr>
        <w:t>2.5在政府采购活动中，提供货物、工程或者服务符合享受中小企业扶持政策的，供应商应提供《中小企业声明函》；属于监狱企业的，应提供由省级以上监狱管理局、戒毒管理局（含新疆生产建设兵团）出具的属于监狱企业的证明文件；属于残疾人福利性单位的，应提供《残疾人福利性单位声明函》。供应商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供应商应当对提供材料的真实性负责，若有虚假，将追究其法律责任。</w:t>
      </w:r>
    </w:p>
    <w:p>
      <w:pPr>
        <w:pStyle w:val="null5"/>
        <w:jc w:val="left"/>
        <w:outlineLvl w:val="2"/>
      </w:pPr>
      <w:r>
        <w:rPr>
          <w:rFonts w:ascii="仿宋_GB2312" w:hAnsi="仿宋_GB2312" w:cs="仿宋_GB2312" w:eastAsia="仿宋_GB2312"/>
          <w:sz w:val="28"/>
          <w:b/>
        </w:rPr>
        <w:t>三.评审程序</w:t>
      </w:r>
    </w:p>
    <w:p>
      <w:pPr>
        <w:pStyle w:val="null5"/>
        <w:ind w:firstLine="480"/>
        <w:jc w:val="left"/>
      </w:pPr>
      <w:r>
        <w:rPr>
          <w:rFonts w:ascii="仿宋_GB2312" w:hAnsi="仿宋_GB2312" w:cs="仿宋_GB2312" w:eastAsia="仿宋_GB2312"/>
        </w:rPr>
        <w:t>1.资格审查</w:t>
      </w:r>
    </w:p>
    <w:p>
      <w:pPr>
        <w:pStyle w:val="null5"/>
        <w:ind w:firstLine="480"/>
        <w:jc w:val="left"/>
      </w:pPr>
      <w:r>
        <w:rPr>
          <w:rFonts w:ascii="仿宋_GB2312" w:hAnsi="仿宋_GB2312" w:cs="仿宋_GB2312" w:eastAsia="仿宋_GB2312"/>
        </w:rPr>
        <w:t>1.1磋商小组依据法律法规和磋商文件的规定，对响应文件中的资格证明文件等进行审查，以确定供应商是否具备响应资格。</w:t>
      </w:r>
    </w:p>
    <w:p>
      <w:pPr>
        <w:pStyle w:val="null5"/>
        <w:ind w:firstLine="480"/>
        <w:jc w:val="left"/>
      </w:pPr>
      <w:r>
        <w:rPr>
          <w:rFonts w:ascii="仿宋_GB2312" w:hAnsi="仿宋_GB2312" w:cs="仿宋_GB2312" w:eastAsia="仿宋_GB2312"/>
        </w:rPr>
        <w:t>1.2资格审查中有任意一项未通过的，审查结果为未通过，未通过资格审查的供应商按无效响应处理。</w:t>
      </w:r>
    </w:p>
    <w:p>
      <w:pPr>
        <w:pStyle w:val="null5"/>
        <w:ind w:firstLine="480"/>
        <w:jc w:val="left"/>
      </w:pPr>
      <w:r>
        <w:rPr>
          <w:rFonts w:ascii="仿宋_GB2312" w:hAnsi="仿宋_GB2312" w:cs="仿宋_GB2312" w:eastAsia="仿宋_GB2312"/>
        </w:rPr>
        <w:t>1.3信用记录查询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w:t>
      </w:r>
    </w:p>
    <w:p>
      <w:pPr>
        <w:pStyle w:val="null5"/>
        <w:ind w:firstLine="480"/>
        <w:jc w:val="left"/>
      </w:pPr>
      <w:r>
        <w:rPr>
          <w:rFonts w:ascii="仿宋_GB2312" w:hAnsi="仿宋_GB2312" w:cs="仿宋_GB2312" w:eastAsia="仿宋_GB2312"/>
        </w:rPr>
        <w:t>查询截止时点：本项目资格审查时查询；</w:t>
      </w:r>
    </w:p>
    <w:p>
      <w:pPr>
        <w:pStyle w:val="null5"/>
        <w:ind w:firstLine="480"/>
        <w:jc w:val="left"/>
      </w:pPr>
      <w:r>
        <w:rPr>
          <w:rFonts w:ascii="仿宋_GB2312" w:hAnsi="仿宋_GB2312" w:cs="仿宋_GB2312" w:eastAsia="仿宋_GB2312"/>
        </w:rPr>
        <w:t>查询记录：对列入失信被执行人、重大税收违法失信主体、政府采购严重违法失信行为记录名单、信用报告进行查询；</w:t>
      </w:r>
    </w:p>
    <w:p>
      <w:pPr>
        <w:pStyle w:val="null5"/>
        <w:ind w:firstLine="480"/>
        <w:jc w:val="left"/>
      </w:pPr>
      <w:r>
        <w:rPr>
          <w:rFonts w:ascii="仿宋_GB2312" w:hAnsi="仿宋_GB2312" w:cs="仿宋_GB2312" w:eastAsia="仿宋_GB2312"/>
        </w:rPr>
        <w:t>磋商小组应当按照查询渠道、查询时间节点、查询记录内容进行查询，并存档。对信用记录查询结果中显示被列入失信被执行人、重大税收违法失信主体、政府采购严重违法失信行为记录名单的供应商将被拒绝参与政府采购活动。</w:t>
      </w:r>
    </w:p>
    <w:p>
      <w:pPr>
        <w:pStyle w:val="null5"/>
        <w:jc w:val="center"/>
        <w:outlineLvl w:val="2"/>
      </w:pPr>
      <w:r>
        <w:rPr>
          <w:rFonts w:ascii="仿宋_GB2312" w:hAnsi="仿宋_GB2312" w:cs="仿宋_GB2312" w:eastAsia="仿宋_GB2312"/>
          <w:sz w:val="28"/>
          <w:b/>
        </w:rPr>
        <w:t>资格审查表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审查供应商营业执照等证明文件或者身份证明。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审查供应商提供的具有良好的商业信誉和健全的财务会计制度的相关材料。</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审查供应商提供的依法缴纳税收和社会保障资金的相关材料。</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审查供应商提供的具有履行合同所必需的设备和专业技术能力的证明材料。</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审查供应商参加本次采购活动前3年内在经营活动中没有重大违法记录的书面声明。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资格审查时，供应商未被列入失信被执行人、税收违法黑名单、政府采购严重违法失信行为记录名单。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联合体响应（若有）</w:t>
            </w:r>
          </w:p>
        </w:tc>
        <w:tc>
          <w:tcPr>
            <w:tcW w:type="dxa" w:w="4153"/>
          </w:tcPr>
          <w:p>
            <w:pPr>
              <w:pStyle w:val="null5"/>
              <w:jc w:val="left"/>
            </w:pPr>
            <w:r>
              <w:rPr>
                <w:rFonts w:ascii="仿宋_GB2312" w:hAnsi="仿宋_GB2312" w:cs="仿宋_GB2312" w:eastAsia="仿宋_GB2312"/>
              </w:rPr>
              <w:t>符合关于联合体响应的相关规定。</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r>
        <w:tc>
          <w:tcPr>
            <w:tcW w:type="dxa" w:w="3322"/>
          </w:tcPr>
          <w:p>
            <w:pPr>
              <w:pStyle w:val="null5"/>
              <w:jc w:val="left"/>
            </w:pPr>
            <w:r>
              <w:rPr>
                <w:rFonts w:ascii="仿宋_GB2312" w:hAnsi="仿宋_GB2312" w:cs="仿宋_GB2312" w:eastAsia="仿宋_GB2312"/>
              </w:rPr>
              <w:t>资格要求</w:t>
            </w:r>
          </w:p>
        </w:tc>
        <w:tc>
          <w:tcPr>
            <w:tcW w:type="dxa" w:w="4984"/>
          </w:tcPr>
          <w:p>
            <w:pPr>
              <w:pStyle w:val="null5"/>
              <w:jc w:val="left"/>
            </w:pPr>
            <w:r>
              <w:rPr>
                <w:rFonts w:ascii="仿宋_GB2312" w:hAnsi="仿宋_GB2312" w:cs="仿宋_GB2312" w:eastAsia="仿宋_GB2312"/>
              </w:rPr>
              <w:t>具有乙级及以上测绘资质</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本采购包属于专门面向中小企业采购。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ind w:firstLine="480"/>
        <w:jc w:val="left"/>
      </w:pPr>
      <w:r>
        <w:rPr>
          <w:rFonts w:ascii="仿宋_GB2312" w:hAnsi="仿宋_GB2312" w:cs="仿宋_GB2312" w:eastAsia="仿宋_GB2312"/>
        </w:rPr>
        <w:t>2.符合性审查</w:t>
      </w:r>
    </w:p>
    <w:p>
      <w:pPr>
        <w:pStyle w:val="null5"/>
        <w:ind w:firstLine="480"/>
        <w:jc w:val="left"/>
      </w:pPr>
      <w:r>
        <w:rPr>
          <w:rFonts w:ascii="仿宋_GB2312" w:hAnsi="仿宋_GB2312" w:cs="仿宋_GB2312" w:eastAsia="仿宋_GB2312"/>
        </w:rPr>
        <w:t>2.1磋商小组依据磋商文件的规定，从响应文件的有效性、完整性和对磋商文件的响应程度进行审查，以确定是否对磋商文件的实质性要求作出响应。</w:t>
      </w:r>
    </w:p>
    <w:p>
      <w:pPr>
        <w:pStyle w:val="null5"/>
        <w:ind w:firstLine="480"/>
        <w:jc w:val="left"/>
      </w:pPr>
      <w:r>
        <w:rPr>
          <w:rFonts w:ascii="仿宋_GB2312" w:hAnsi="仿宋_GB2312" w:cs="仿宋_GB2312" w:eastAsia="仿宋_GB2312"/>
        </w:rPr>
        <w:t>2.2符合性审查中有任意一项未通过的，评审结果为未通过，未通过符合性审查的供应商按无效响应处理。</w:t>
      </w:r>
    </w:p>
    <w:p>
      <w:pPr>
        <w:pStyle w:val="null5"/>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响应文件的签署、盖章、涂改、删除、插字、公章使用等符合磋商文件要求；响应文件文件的格式、文字、目录等符合磋商文件要求或对投标无实质性影响。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审查供应商出具的“满足主要商务条款的承诺书”，且进行盖章。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2.响应文件应当对磋商文件提出的要求和条件作出明确响应并满足磋商文件全部实质性要求。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磋商文件要求的其他无效投标情形；围标、串标和法律法规规定的其它无效投标条款。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3.磋商</w:t>
      </w:r>
    </w:p>
    <w:p>
      <w:pPr>
        <w:pStyle w:val="null5"/>
        <w:ind w:firstLine="480"/>
        <w:jc w:val="left"/>
      </w:pPr>
      <w:r>
        <w:rPr>
          <w:rFonts w:ascii="仿宋_GB2312" w:hAnsi="仿宋_GB2312" w:cs="仿宋_GB2312" w:eastAsia="仿宋_GB2312"/>
        </w:rPr>
        <w:t>磋商小组所有成员应当集中与单一供应商分别进行磋商，并给予所有参加磋商的供应商平等的磋商机会。</w:t>
      </w:r>
    </w:p>
    <w:p>
      <w:pPr>
        <w:pStyle w:val="null5"/>
        <w:ind w:firstLine="480"/>
        <w:jc w:val="left"/>
      </w:pPr>
      <w:r>
        <w:rPr>
          <w:rFonts w:ascii="仿宋_GB2312" w:hAnsi="仿宋_GB2312" w:cs="仿宋_GB2312" w:eastAsia="仿宋_GB2312"/>
        </w:rPr>
        <w:t>在磋商过程中，磋商小组可以根据磋商文件和磋商情况实质性变动采购需求中的技术、服务要求以及合同草案条款，但不得变动磋商文件中的其他内容。实质性变动的内容，须经采购人代表确认。</w:t>
      </w:r>
    </w:p>
    <w:p>
      <w:pPr>
        <w:pStyle w:val="null5"/>
        <w:ind w:firstLine="480"/>
        <w:jc w:val="left"/>
      </w:pPr>
      <w:r>
        <w:rPr>
          <w:rFonts w:ascii="仿宋_GB2312" w:hAnsi="仿宋_GB2312" w:cs="仿宋_GB2312" w:eastAsia="仿宋_GB2312"/>
        </w:rPr>
        <w:t>对磋商文件作出的实质性变动是磋商文件的有效组成部分，磋商小组应当及时通过政府采购云平台同时通知所有参加磋商的供应商。</w:t>
      </w:r>
    </w:p>
    <w:p>
      <w:pPr>
        <w:pStyle w:val="null5"/>
        <w:ind w:firstLine="480"/>
        <w:jc w:val="left"/>
      </w:pPr>
      <w:r>
        <w:rPr>
          <w:rFonts w:ascii="仿宋_GB2312" w:hAnsi="仿宋_GB2312" w:cs="仿宋_GB2312" w:eastAsia="仿宋_GB2312"/>
        </w:rPr>
        <w:t>供应商应当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4.最后报价</w:t>
      </w:r>
    </w:p>
    <w:p>
      <w:pPr>
        <w:pStyle w:val="null5"/>
        <w:ind w:firstLine="480"/>
        <w:jc w:val="left"/>
      </w:pPr>
      <w:r>
        <w:rPr>
          <w:rFonts w:ascii="仿宋_GB2312" w:hAnsi="仿宋_GB2312" w:cs="仿宋_GB2312" w:eastAsia="仿宋_GB2312"/>
        </w:rPr>
        <w:t>磋商结束后，磋商小组应当要求所有实质性响应的供应商在规定时间内提交最后报价。最后报价是供应商响应文件的有效组成部分。</w:t>
      </w:r>
    </w:p>
    <w:p>
      <w:pPr>
        <w:pStyle w:val="null5"/>
        <w:ind w:firstLine="480"/>
        <w:jc w:val="left"/>
      </w:pPr>
      <w:r>
        <w:rPr>
          <w:rFonts w:ascii="仿宋_GB2312" w:hAnsi="仿宋_GB2312" w:cs="仿宋_GB2312" w:eastAsia="仿宋_GB2312"/>
        </w:rPr>
        <w:t>已提交响应文件的供应商，在提交最后报价之前，可以根据磋商情况退出磋商。</w:t>
      </w:r>
    </w:p>
    <w:p>
      <w:pPr>
        <w:pStyle w:val="null5"/>
        <w:ind w:firstLine="480"/>
        <w:jc w:val="left"/>
      </w:pPr>
      <w:r>
        <w:rPr>
          <w:rFonts w:ascii="仿宋_GB2312" w:hAnsi="仿宋_GB2312" w:cs="仿宋_GB2312" w:eastAsia="仿宋_GB2312"/>
        </w:rPr>
        <w:t>未在最终轮次规定时间内进行响应的，视为不再参与该政府采购活动。</w:t>
      </w:r>
    </w:p>
    <w:p>
      <w:pPr>
        <w:pStyle w:val="null5"/>
        <w:ind w:firstLine="480"/>
        <w:jc w:val="left"/>
      </w:pPr>
      <w:r>
        <w:rPr>
          <w:rFonts w:ascii="仿宋_GB2312" w:hAnsi="仿宋_GB2312" w:cs="仿宋_GB2312" w:eastAsia="仿宋_GB2312"/>
        </w:rPr>
        <w:t>5.政府采购政策功能落实</w:t>
      </w:r>
    </w:p>
    <w:p>
      <w:pPr>
        <w:pStyle w:val="null5"/>
        <w:ind w:firstLine="480"/>
        <w:jc w:val="left"/>
      </w:pPr>
      <w:r>
        <w:rPr>
          <w:rFonts w:ascii="仿宋_GB2312" w:hAnsi="仿宋_GB2312" w:cs="仿宋_GB2312" w:eastAsia="仿宋_GB2312"/>
        </w:rPr>
        <w:t>依据《政府采购促进中小企业发展管理办法》等规定，对符合条件的小微企业、监狱企业或残疾人福利性单位给予价格扣除。</w:t>
      </w:r>
    </w:p>
    <w:p>
      <w:pPr>
        <w:pStyle w:val="null5"/>
        <w:ind w:firstLine="480"/>
        <w:jc w:val="left"/>
      </w:pPr>
      <w:r>
        <w:rPr>
          <w:rFonts w:ascii="仿宋_GB2312" w:hAnsi="仿宋_GB2312" w:cs="仿宋_GB2312" w:eastAsia="仿宋_GB2312"/>
        </w:rPr>
        <w:t>6.综合评分</w:t>
      </w:r>
    </w:p>
    <w:p>
      <w:pPr>
        <w:pStyle w:val="null5"/>
        <w:ind w:firstLine="480"/>
        <w:jc w:val="left"/>
      </w:pPr>
      <w:r>
        <w:rPr>
          <w:rFonts w:ascii="仿宋_GB2312" w:hAnsi="仿宋_GB2312" w:cs="仿宋_GB2312" w:eastAsia="仿宋_GB2312"/>
        </w:rPr>
        <w:t>由磋商小组采用综合评分法对提交最后报价的供应商的响应文件和最后报价进行综合评分（得分四舍五入保留两位小数）。</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技术部分69.00分</w:t>
            </w:r>
          </w:p>
          <w:p>
            <w:pPr>
              <w:pStyle w:val="null5"/>
              <w:jc w:val="left"/>
            </w:pPr>
            <w:r>
              <w:rPr>
                <w:rFonts w:ascii="仿宋_GB2312" w:hAnsi="仿宋_GB2312" w:cs="仿宋_GB2312" w:eastAsia="仿宋_GB2312"/>
              </w:rPr>
              <w:t>商务部分21.00分</w:t>
            </w:r>
          </w:p>
          <w:p>
            <w:pPr>
              <w:pStyle w:val="null5"/>
              <w:jc w:val="left"/>
            </w:pPr>
            <w:r>
              <w:rPr>
                <w:rFonts w:ascii="仿宋_GB2312" w:hAnsi="仿宋_GB2312" w:cs="仿宋_GB2312" w:eastAsia="仿宋_GB2312"/>
              </w:rPr>
              <w:t>报价得分10.00分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项目实施方案</w:t>
            </w:r>
          </w:p>
        </w:tc>
        <w:tc>
          <w:tcPr>
            <w:tcW w:type="dxa" w:w="3115"/>
          </w:tcPr>
          <w:p>
            <w:pPr>
              <w:pStyle w:val="null5"/>
              <w:jc w:val="left"/>
            </w:pPr>
            <w:r>
              <w:rPr>
                <w:rFonts w:ascii="仿宋_GB2312" w:hAnsi="仿宋_GB2312" w:cs="仿宋_GB2312" w:eastAsia="仿宋_GB2312"/>
              </w:rPr>
              <w:t>根据供应商提供的实施方案的详细程度、完善性、合理性等进行评审：1、项目技术方案与技术路线方案清晰、合理，整体工作阶段及任务划分、进度控制合理、关键时间节点把握科学准确，得10-14分；2、项目技术方案与技术路线比较清晰、合理，整体工作阶段及任务划分、进度控制比较合理、关键时间节点把握比较准确的，得5-9分；3、项目技术方案与技术路线不够清晰、合理，整体工作阶段及任务划分、进度控制不够合理、关键时间节点把握不够准确的，得1-4分；4、未提供不得分。</w:t>
            </w:r>
          </w:p>
        </w:tc>
        <w:tc>
          <w:tcPr>
            <w:tcW w:type="dxa" w:w="1038"/>
          </w:tcPr>
          <w:p>
            <w:pPr>
              <w:pStyle w:val="null5"/>
              <w:jc w:val="right"/>
            </w:pPr>
            <w:r>
              <w:rPr>
                <w:rFonts w:ascii="仿宋_GB2312" w:hAnsi="仿宋_GB2312" w:cs="仿宋_GB2312" w:eastAsia="仿宋_GB2312"/>
              </w:rPr>
              <w:t>14.00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对项目理解、重点与难点分析及应对措施</w:t>
            </w:r>
          </w:p>
        </w:tc>
        <w:tc>
          <w:tcPr>
            <w:tcW w:type="dxa" w:w="3115"/>
          </w:tcPr>
          <w:p>
            <w:pPr>
              <w:pStyle w:val="null5"/>
              <w:jc w:val="left"/>
            </w:pPr>
            <w:r>
              <w:rPr>
                <w:rFonts w:ascii="仿宋_GB2312" w:hAnsi="仿宋_GB2312" w:cs="仿宋_GB2312" w:eastAsia="仿宋_GB2312"/>
              </w:rPr>
              <w:t>根据供应商针对本项目的理解，对项目重点、难点的分析及应对措施进行评审：1、供应商对本项目理解到位、分析透彻，项目重点、难点的分析全面、准确，应对措施针对性强且合理可行的得10-15分；2、供应商对本项目理解较好、分析较为透彻，项目重点、难点的分析基本全面、准确，应对措施针对性较强，基本合理可行的得5-9分；3、供应商对本项目理解较差、分析不够透彻，项目重点、难点的分析内容简单，应对措施针对性一般的得1-4分；4、未提供不得分。</w:t>
            </w:r>
          </w:p>
        </w:tc>
        <w:tc>
          <w:tcPr>
            <w:tcW w:type="dxa" w:w="1038"/>
          </w:tcPr>
          <w:p>
            <w:pPr>
              <w:pStyle w:val="null5"/>
              <w:jc w:val="right"/>
            </w:pPr>
            <w:r>
              <w:rPr>
                <w:rFonts w:ascii="仿宋_GB2312" w:hAnsi="仿宋_GB2312" w:cs="仿宋_GB2312" w:eastAsia="仿宋_GB2312"/>
              </w:rPr>
              <w:t>15.00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质量保证方案</w:t>
            </w:r>
          </w:p>
        </w:tc>
        <w:tc>
          <w:tcPr>
            <w:tcW w:type="dxa" w:w="3115"/>
          </w:tcPr>
          <w:p>
            <w:pPr>
              <w:pStyle w:val="null5"/>
              <w:jc w:val="left"/>
            </w:pPr>
            <w:r>
              <w:rPr>
                <w:rFonts w:ascii="仿宋_GB2312" w:hAnsi="仿宋_GB2312" w:cs="仿宋_GB2312" w:eastAsia="仿宋_GB2312"/>
              </w:rPr>
              <w:t>根据供应商提供的良好的质量管理体系并合理安排质量保证措施，从详细程度及可行性方面总体进行评审：1、质量保证体系完全满足采购单位要求得7-10分；2、质量保证施符合单位要求得3-6分；3、简单提供质量保证措施条款1-2分；4、未提供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进度保障措施</w:t>
            </w:r>
          </w:p>
        </w:tc>
        <w:tc>
          <w:tcPr>
            <w:tcW w:type="dxa" w:w="3115"/>
          </w:tcPr>
          <w:p>
            <w:pPr>
              <w:pStyle w:val="null5"/>
              <w:jc w:val="left"/>
            </w:pPr>
            <w:r>
              <w:rPr>
                <w:rFonts w:ascii="仿宋_GB2312" w:hAnsi="仿宋_GB2312" w:cs="仿宋_GB2312" w:eastAsia="仿宋_GB2312"/>
              </w:rPr>
              <w:t>根据供应商提供的服务，确保在规定的时间内完成本项目，有完善的进度保证体系及措施等内容进行评审：1、内容详细、完善、合理，完全满足采购需求，得7-10分；2、内容比较完善、比较合理，较满足采购需求，得3-6分；3、内容基本完善、基本合理，基本满足采购需求，得1-2分；4、未提供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保密管理方案</w:t>
            </w:r>
          </w:p>
        </w:tc>
        <w:tc>
          <w:tcPr>
            <w:tcW w:type="dxa" w:w="3115"/>
          </w:tcPr>
          <w:p>
            <w:pPr>
              <w:pStyle w:val="null5"/>
              <w:jc w:val="left"/>
            </w:pPr>
            <w:r>
              <w:rPr>
                <w:rFonts w:ascii="仿宋_GB2312" w:hAnsi="仿宋_GB2312" w:cs="仿宋_GB2312" w:eastAsia="仿宋_GB2312"/>
              </w:rPr>
              <w:t>供应商对本项目提供项目实施过程及项目成果的保密管理制度进行评审：1、保密管理制度严谨切实可行得7-10分；2、保密管理制度基本完整，可行性一般得4-6分；3、保密管理制度可行性不高得1-3分；4、未提供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售后服务保障措施</w:t>
            </w:r>
          </w:p>
        </w:tc>
        <w:tc>
          <w:tcPr>
            <w:tcW w:type="dxa" w:w="3115"/>
          </w:tcPr>
          <w:p>
            <w:pPr>
              <w:pStyle w:val="null5"/>
              <w:jc w:val="left"/>
            </w:pPr>
            <w:r>
              <w:rPr>
                <w:rFonts w:ascii="仿宋_GB2312" w:hAnsi="仿宋_GB2312" w:cs="仿宋_GB2312" w:eastAsia="仿宋_GB2312"/>
              </w:rPr>
              <w:t>根据供应商提供的售后服务保障进行评审：1.内容表述非常清晰、完整，措施具体、有效、可行性非常高，得8-10分； 2.内容表述较为清晰、完整，措施具体、有效、可行性较高，得5-7分； 3.内容表述基本清晰、完整，措施具体、有效、基本可行，得2-4分； 4.内容表述一般清晰、完整，措施具体、有效、可行性一般，得0-1分；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技术人员</w:t>
            </w:r>
          </w:p>
        </w:tc>
        <w:tc>
          <w:tcPr>
            <w:tcW w:type="dxa" w:w="3115"/>
          </w:tcPr>
          <w:p>
            <w:pPr>
              <w:pStyle w:val="null5"/>
              <w:jc w:val="left"/>
            </w:pPr>
            <w:r>
              <w:rPr>
                <w:rFonts w:ascii="仿宋_GB2312" w:hAnsi="仿宋_GB2312" w:cs="仿宋_GB2312" w:eastAsia="仿宋_GB2312"/>
              </w:rPr>
              <w:t>林草或测绘中级或以上工程师职称证书，每提供1个得4分，最高得12分。否则不得分。</w:t>
            </w:r>
          </w:p>
        </w:tc>
        <w:tc>
          <w:tcPr>
            <w:tcW w:type="dxa" w:w="1038"/>
          </w:tcPr>
          <w:p>
            <w:pPr>
              <w:pStyle w:val="null5"/>
              <w:jc w:val="right"/>
            </w:pPr>
            <w:r>
              <w:rPr>
                <w:rFonts w:ascii="仿宋_GB2312" w:hAnsi="仿宋_GB2312" w:cs="仿宋_GB2312" w:eastAsia="仿宋_GB2312"/>
              </w:rPr>
              <w:t>12.00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业绩</w:t>
            </w:r>
          </w:p>
        </w:tc>
        <w:tc>
          <w:tcPr>
            <w:tcW w:type="dxa" w:w="3115"/>
          </w:tcPr>
          <w:p>
            <w:pPr>
              <w:pStyle w:val="null5"/>
              <w:jc w:val="left"/>
            </w:pPr>
            <w:r>
              <w:rPr>
                <w:rFonts w:ascii="仿宋_GB2312" w:hAnsi="仿宋_GB2312" w:cs="仿宋_GB2312" w:eastAsia="仿宋_GB2312"/>
              </w:rPr>
              <w:t>供应商承担过确权类、调查类或数据类等相关的类似业绩。类似项目业绩，每提供一项得3分，最高得9分。 注：1.须提供合同，以合同签订时间为准；。</w:t>
            </w:r>
          </w:p>
        </w:tc>
        <w:tc>
          <w:tcPr>
            <w:tcW w:type="dxa" w:w="1038"/>
          </w:tcPr>
          <w:p>
            <w:pPr>
              <w:pStyle w:val="null5"/>
              <w:jc w:val="right"/>
            </w:pPr>
            <w:r>
              <w:rPr>
                <w:rFonts w:ascii="仿宋_GB2312" w:hAnsi="仿宋_GB2312" w:cs="仿宋_GB2312" w:eastAsia="仿宋_GB2312"/>
              </w:rPr>
              <w:t>9.00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7.汇总、排序</w:t>
      </w:r>
    </w:p>
    <w:p>
      <w:pPr>
        <w:pStyle w:val="null5"/>
        <w:ind w:firstLine="480"/>
        <w:jc w:val="left"/>
      </w:pPr>
      <w:r>
        <w:rPr>
          <w:rFonts w:ascii="仿宋_GB2312" w:hAnsi="仿宋_GB2312" w:cs="仿宋_GB2312" w:eastAsia="仿宋_GB2312"/>
        </w:rPr>
        <w:t>磋商小组根据综合评分情况，按照评审得分由高到低顺序推荐3名以上成交候选供应商，并编写评审报告。符合《政府采购竞争性磋商采购方式管理暂行办法》相关规定的，可以推荐2家成交候选供应商。评审得分相同的，按照最后报价由低到高的顺序推荐。评审得分且最后报价相同的，按照技术指标优劣顺序推荐。</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2.合同格式及内容</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详见附件：其他材料</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