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篮球场地提升改造工程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土默特左旗第一中学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内蒙古中佳工程项目管理服务有限公司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150121-ZJZC-CS-20250001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内蒙古中佳工程项目管理服务有限公司</w:t>
      </w:r>
      <w:r>
        <w:rPr>
          <w:rFonts w:ascii="仿宋_GB2312" w:hAnsi="仿宋_GB2312" w:cs="仿宋_GB2312" w:eastAsia="仿宋_GB2312"/>
        </w:rPr>
        <w:t xml:space="preserve"> 受 </w:t>
      </w:r>
      <w:r>
        <w:rPr>
          <w:rFonts w:ascii="仿宋_GB2312" w:hAnsi="仿宋_GB2312" w:cs="仿宋_GB2312" w:eastAsia="仿宋_GB2312"/>
        </w:rPr>
        <w:t>土默特左旗第一中学</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篮球场地提升改造工程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篮球场地提升改造工程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150121-ZJZC-CS-20250001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土左政采计划[2025]00016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1,318,945.00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土默特左旗第一中学篮球场地提升改造工程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1,318,945.00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1、特定资格要求：（1)供应商须具备建设行政主管部门颁发的【建筑工程施工总承包或市政工程总承包】叁级（含）以上资质，且具备有效的安全生产许可证，并在人员、设备、资金等方面具有相应的能力。 （2）项目负责人须具备建筑工程或市政公用工程专业二级（含）以上建造师资格，须在本单位注册，同时具备有效的B类安全生产考核合格证书（以建造师执业资格证、注册证、B类安全生产考核合格证为准，且未担任其他在建工程的项目负责人（提供承诺书并加盖公章，格式自拟）；项目负责人须在 本单位工作，年龄不得超过65周岁；如供应商拟派项目负责人为一级建造师，应按照《住房和城乡建设部办公厅关于全面实行一级建造师电子注册证书的通知》【建办市〔2021〕40 号】文件要求，提供一级建造师电子注册证书（一级建造师打印电子注册证书后，应在个人签名处手写本人签名，未手写签名或与签名图像笔迹不一致的，该电子证书无效，超出使用时限的电子证书无效）。</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内蒙古中佳工程项目管理服务有限公司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内蒙古自治区呼和浩特市赛罕区昭乌达路175号汇商广场商务楼5029号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孙曼</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15661171586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土默特左旗第一中学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土默特左旗察素齐镇博彦路西</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张校长</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13848416458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代理服务费收费标准：招标代理服务收费参考《关于印发&lt;内蒙古自治区建设工程招标代理服务收费指导意见&gt;的通知》(内工建协[2022]34号)文件取费标准</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土默特左旗第一中学</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内蒙古中佳工程项目管理服务有限公司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土默特左旗第一中学篮球场地提升改造工程，具体详见采购文件及工程量清单。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以合同中约定为准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1、根据施工进度验收完成后支付，实际以合同中约定为准，达到付款条件起30日，支付合同总金额的100.00%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标的名称：土默特左旗第一中学篮球场地提升改造工程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、本工程采用的技术规范</w:t>
            </w:r>
          </w:p>
          <w:p>
            <w:pPr>
              <w:pStyle w:val="null5"/>
              <w:ind w:firstLine="480"/>
              <w:jc w:val="both"/>
            </w:pPr>
            <w:r>
              <w:rPr>
                <w:rFonts w:ascii="仿宋_GB2312" w:hAnsi="仿宋_GB2312" w:cs="仿宋_GB2312" w:eastAsia="仿宋_GB2312"/>
                <w:sz w:val="24"/>
              </w:rPr>
              <w:t>按现行建筑工程施工技术操作规程和建筑工程施工及验收规范施工并验收。</w:t>
            </w:r>
          </w:p>
          <w:p>
            <w:pPr>
              <w:pStyle w:val="null5"/>
              <w:ind w:firstLine="482"/>
              <w:jc w:val="both"/>
            </w:pPr>
            <w:r>
              <w:rPr>
                <w:rFonts w:ascii="仿宋_GB2312" w:hAnsi="仿宋_GB2312" w:cs="仿宋_GB2312" w:eastAsia="仿宋_GB2312"/>
                <w:sz w:val="24"/>
                <w:b/>
              </w:rPr>
              <w:t>二、工程内容与范围</w:t>
            </w:r>
          </w:p>
          <w:p>
            <w:pPr>
              <w:pStyle w:val="null5"/>
              <w:ind w:firstLine="480"/>
              <w:jc w:val="both"/>
            </w:pPr>
            <w:r>
              <w:rPr>
                <w:rFonts w:ascii="仿宋_GB2312" w:hAnsi="仿宋_GB2312" w:cs="仿宋_GB2312" w:eastAsia="仿宋_GB2312"/>
                <w:sz w:val="24"/>
              </w:rPr>
              <w:t>主要包含：</w:t>
            </w:r>
            <w:r>
              <w:rPr>
                <w:rFonts w:ascii="仿宋_GB2312" w:hAnsi="仿宋_GB2312" w:cs="仿宋_GB2312" w:eastAsia="仿宋_GB2312"/>
                <w:sz w:val="24"/>
              </w:rPr>
              <w:t>8mm硅PU面层</w:t>
            </w:r>
            <w:r>
              <w:rPr>
                <w:rFonts w:ascii="仿宋_GB2312" w:hAnsi="仿宋_GB2312" w:cs="仿宋_GB2312" w:eastAsia="仿宋_GB2312"/>
                <w:sz w:val="24"/>
              </w:rPr>
              <w:t>。具体施工工艺如下：</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硅</w:t>
            </w:r>
            <w:r>
              <w:rPr>
                <w:rFonts w:ascii="仿宋_GB2312" w:hAnsi="仿宋_GB2312" w:cs="仿宋_GB2312" w:eastAsia="仿宋_GB2312"/>
                <w:sz w:val="24"/>
              </w:rPr>
              <w:t>PU球场结构</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球场结构：四层</w:t>
            </w:r>
            <w:r>
              <w:rPr>
                <w:rFonts w:ascii="仿宋_GB2312" w:hAnsi="仿宋_GB2312" w:cs="仿宋_GB2312" w:eastAsia="仿宋_GB2312"/>
                <w:sz w:val="24"/>
              </w:rPr>
              <w:t>:防水涂层、弹性层、加强层、耐磨层、纹理层标志划线</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防水涂层：防水底漆固化粘接涂层</w:t>
            </w:r>
          </w:p>
          <w:p>
            <w:pPr>
              <w:pStyle w:val="null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主材弹性层配比：纯水性聚氨酯弹性层搅拌纯净水固化材料</w:t>
            </w:r>
            <w:r>
              <w:rPr>
                <w:rFonts w:ascii="仿宋_GB2312" w:hAnsi="仿宋_GB2312" w:cs="仿宋_GB2312" w:eastAsia="仿宋_GB2312"/>
                <w:sz w:val="24"/>
              </w:rPr>
              <w:t>1000：6配比</w:t>
            </w:r>
          </w:p>
          <w:p>
            <w:pPr>
              <w:pStyle w:val="null5"/>
              <w:ind w:left="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加强层：纯水性聚氨酯弹性层搅拌纯净水固化材料</w:t>
            </w:r>
            <w:r>
              <w:rPr>
                <w:rFonts w:ascii="仿宋_GB2312" w:hAnsi="仿宋_GB2312" w:cs="仿宋_GB2312" w:eastAsia="仿宋_GB2312"/>
                <w:sz w:val="24"/>
              </w:rPr>
              <w:t>1000：6配比</w:t>
            </w:r>
            <w:r>
              <w:br/>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耐磨层：耐磨、耐老化、</w:t>
            </w:r>
            <w:r>
              <w:br/>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纹理层：抗老化、防止外线、隔热、</w:t>
            </w:r>
            <w:r>
              <w:br/>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划线：体育场使用要求及检验方法第</w:t>
            </w:r>
            <w:r>
              <w:rPr>
                <w:rFonts w:ascii="仿宋_GB2312" w:hAnsi="仿宋_GB2312" w:cs="仿宋_GB2312" w:eastAsia="仿宋_GB2312"/>
                <w:sz w:val="24"/>
              </w:rPr>
              <w:t>4部分：合成面层篮球场地</w:t>
            </w:r>
            <w:r>
              <w:br/>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主材铺装：防水涂层、弹性层、加强层、</w:t>
            </w:r>
            <w:r>
              <w:rPr>
                <w:rFonts w:ascii="仿宋_GB2312" w:hAnsi="仿宋_GB2312" w:cs="仿宋_GB2312" w:eastAsia="仿宋_GB2312"/>
                <w:sz w:val="24"/>
              </w:rPr>
              <w:t xml:space="preserve">  </w:t>
            </w:r>
            <w:r>
              <w:br/>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面层铺装：耐磨层、纹理层、分色</w:t>
            </w:r>
            <w:r>
              <w:br/>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标志线：机械定位、划线</w:t>
            </w:r>
            <w:r>
              <w:br/>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铺装要求：根据场地实际尺寸设计制定</w:t>
            </w:r>
            <w:r>
              <w:br/>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铺装方法：现场浇筑、滚涂、收刮</w:t>
            </w:r>
          </w:p>
          <w:p>
            <w:pPr>
              <w:pStyle w:val="null5"/>
              <w:ind w:left="480"/>
              <w:jc w:val="both"/>
            </w:pPr>
            <w:r>
              <w:rPr>
                <w:rFonts w:ascii="仿宋_GB2312" w:hAnsi="仿宋_GB2312" w:cs="仿宋_GB2312" w:eastAsia="仿宋_GB2312"/>
                <w:sz w:val="24"/>
                <w:b/>
              </w:rPr>
              <w:t>三、质量标准及要求</w:t>
            </w:r>
            <w:r>
              <w:rPr>
                <w:rFonts w:ascii="仿宋_GB2312" w:hAnsi="仿宋_GB2312" w:cs="仿宋_GB2312" w:eastAsia="仿宋_GB2312"/>
                <w:sz w:val="28"/>
              </w:rPr>
              <w:t>★</w:t>
            </w:r>
          </w:p>
          <w:p>
            <w:pPr>
              <w:pStyle w:val="null5"/>
              <w:ind w:firstLine="480"/>
              <w:jc w:val="both"/>
            </w:pPr>
            <w:r>
              <w:rPr>
                <w:rFonts w:ascii="仿宋_GB2312" w:hAnsi="仿宋_GB2312" w:cs="仿宋_GB2312" w:eastAsia="仿宋_GB2312"/>
                <w:sz w:val="24"/>
              </w:rPr>
              <w:t>1．供应商提供国家权威机构依据GB 36246-2018《中小学合成材料面层运动场地》标准出具硅PU球场样块物理机械性能、耐人工气候老化性能（500h）、有害物质含量、有害物质释放量、无机填料含量、气味等均检测合格的有CMA标识的本年度型式检测报告。</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．硅</w:t>
            </w:r>
            <w:r>
              <w:rPr>
                <w:rFonts w:ascii="仿宋_GB2312" w:hAnsi="仿宋_GB2312" w:cs="仿宋_GB2312" w:eastAsia="仿宋_GB2312"/>
                <w:sz w:val="24"/>
              </w:rPr>
              <w:t>PU球场铺装用硅PU弹性层、防水底漆、固化剂、划线漆、球场面漆等提供国家权威机构依据GB36246-2018《中小学合成材料面层运动场地》标准出具的有害物质含量检测合格的有CMA标识的本年度型式检测报告。</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．供应商提供国家权威机构依据</w:t>
            </w:r>
            <w:r>
              <w:rPr>
                <w:rFonts w:ascii="仿宋_GB2312" w:hAnsi="仿宋_GB2312" w:cs="仿宋_GB2312" w:eastAsia="仿宋_GB2312"/>
                <w:sz w:val="24"/>
              </w:rPr>
              <w:t>GB/T43565-2023《中小学合成材料面层篮球场地》标准出具硅PU球场样块物理机械性能、厚度、有害物质含量、有害物质释放量、无机填料含量、耐老化性能、气味等均检测合格的有CMA标识的本年度型式检测报告。</w:t>
            </w:r>
          </w:p>
          <w:p>
            <w:pPr>
              <w:pStyle w:val="null5"/>
              <w:ind w:firstLine="480"/>
              <w:jc w:val="both"/>
            </w:pPr>
            <w:r>
              <w:rPr>
                <w:rFonts w:ascii="仿宋_GB2312" w:hAnsi="仿宋_GB2312" w:cs="仿宋_GB2312" w:eastAsia="仿宋_GB2312"/>
                <w:sz w:val="24"/>
              </w:rPr>
              <w:t>*注</w:t>
            </w:r>
            <w:r>
              <w:rPr>
                <w:rFonts w:ascii="仿宋_GB2312" w:hAnsi="仿宋_GB2312" w:cs="仿宋_GB2312" w:eastAsia="仿宋_GB2312"/>
                <w:sz w:val="24"/>
              </w:rPr>
              <w:t>：</w:t>
            </w:r>
            <w:r>
              <w:rPr>
                <w:rFonts w:ascii="仿宋_GB2312" w:hAnsi="仿宋_GB2312" w:cs="仿宋_GB2312" w:eastAsia="仿宋_GB2312"/>
                <w:sz w:val="24"/>
              </w:rPr>
              <w:t>为保证产品的质量及安全稳定性，以上成品及原材料为同一生产厂商提供。检测报告提供国家市场监督管理总局报告查询截图加盖公章，否则无效。</w:t>
            </w:r>
            <w:r>
              <w:rPr>
                <w:rFonts w:ascii="仿宋_GB2312" w:hAnsi="仿宋_GB2312" w:cs="仿宋_GB2312" w:eastAsia="仿宋_GB2312"/>
                <w:sz w:val="24"/>
              </w:rPr>
              <w:t>(查询网址：http://cx.cnca.cn/CertECloud/index/index/page）</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（1)供应商须具备建设行政主管部门颁发的【建筑工程施工总承包或市政工程总承包】叁级（含）以上资质，且具备有效的安全生产许可证，并在人员、设备、资金等方面具有相应的能力。 （2）项目负责人须具备建筑工程或市政公用工程专业二级（含）以上建造师资格，须在本单位注册，同时具备有效的B类安全生产考核合格证书（以建造师执业资格证、注册证、B类安全生产考核合格证为准，且未担任其他在建工程的项目负责人（提供承诺书并加盖公章，格式自拟）；项目负责人须在 本单位工作，年龄不得超过65周岁；如供应商拟派项目负责人为一级建造师，应按照《住房和城乡建设部办公厅关于全面实行一级建造师电子注册证书的通知》【建办市〔2021〕40 号】文件要求，提供一级建造师电子注册证书（一级建造师打印电子注册证书后，应在个人签名处手写本人签名，未手写签名或与签名图像笔迹不一致的，该电子证书无效，超出使用时限的电子证书无效）。</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施工组织设计编制内容详尽完整、科学有效、针对性强及编制水平高得6分；技术方案内容较为完整、合理、有针对性、编制水平一般得4分；技术方案内容简单、没有针对性、编制潦草得2分；不提供不得分。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施工方案完整、合理，技术措施针对工程质量、工期和施工安全保障等完全符合项目实际情况的得10分；施工方案较为完整，技术措施针对工程质量、工期和施工安全保障等较为符合项目实际情况的得8分；施工方案基本完整，技术措施针对工程质量、工期和施工安全保障等基本符合项目实际情况的得6分；施工方案内容不太完整，技术措施针对工程质量、工期和施工安全保障等与项目实际情况不太相符的得4分；施工方案未考虑项目实际情况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内容完整、合理、可靠、可行性高、针对性强得8分；工程进度计划与措施内容较完整、合理、可靠、可行性较高、针对性较强得6分；工程进度计划与措施一般、针对性一般得4分；工程进度计划与措施内容较差、无针对性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针对本项目特点进行编制，内容完整、合理、可行性高、针对性强得8分；质量管理体系与措施内容较完整、合理、可行性较高、针对性较强得6分；质量管理体系与措施内容一般、针对性一般得 4分；质量管理体系与措施内容较差、无针对性得2分，不提供不得分。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安全管理体系与措施内容完整、合理、可靠、可行性高、针对性强得8分；安全管理体系与措施内容较完整、合理、可靠、可行性较高、针对性较强得6分；安全管理体系与措施内容一般、针对性一般得4分 ；安全管理体系与措施内容较差、无针对性得2分，不提供不得分。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针对本项目施工过程中的扬尘、降噪、垃圾清运等制定专门的环境管理体系与措施，内容完整、合理、可靠、可行性高、针对性强得8分；环境管 理体系与措施内容较完整、合理、可靠、可行性较高、针对性较强得6分；环境保护管理体系与措施一般、针对性一般得4分；环境保护管理体系与措施内容较差、无针对性得2分，不提供不得分。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完整、合理、可靠、可行性高、针对性强得7分；承诺投入的劳动力与施工设备数量、种类较完整，合理、可靠、可行性较高、针对性较强得5分；承诺投入的劳动力与施工设备数量、种类一般、针对性一般得3分；承诺投入的劳动力与施工设备数量、种类较差、无针对性得1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成品（原有建筑） 保护方案</w:t>
            </w:r>
          </w:p>
        </w:tc>
        <w:tc>
          <w:tcPr>
            <w:tcW w:type="dxa" w:w="3115"/>
          </w:tcPr>
          <w:p>
            <w:pPr>
              <w:pStyle w:val="null5"/>
              <w:jc w:val="left"/>
            </w:pPr>
            <w:r>
              <w:rPr>
                <w:rFonts w:ascii="仿宋_GB2312" w:hAnsi="仿宋_GB2312" w:cs="仿宋_GB2312" w:eastAsia="仿宋_GB2312"/>
              </w:rPr>
              <w:t>供应商须针对本项目并结合本项目的实际需求提供的成品（原有主体）保护方案，包括但不限于：保护目标、保护制度、保护措施或方法。内容完善、合理、有利于项目实施，得5分；内容基本完善、基本合理、大部分有利于项目实施，得3分；内容有所阐述但不够完善、少部分合理、少部分有利于项目实施，少部分贴合项目实际情况得1分；无相关描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材料性能</w:t>
            </w:r>
          </w:p>
        </w:tc>
        <w:tc>
          <w:tcPr>
            <w:tcW w:type="dxa" w:w="3115"/>
          </w:tcPr>
          <w:p>
            <w:pPr>
              <w:pStyle w:val="null5"/>
              <w:jc w:val="left"/>
            </w:pPr>
            <w:r>
              <w:rPr>
                <w:rFonts w:ascii="仿宋_GB2312" w:hAnsi="仿宋_GB2312" w:cs="仿宋_GB2312" w:eastAsia="仿宋_GB2312"/>
              </w:rPr>
              <w:t>1．供应商提供硅PU球场样块获得国家权威检测机构出具的耐人工气候老化500h后，进行耐磨实验，5000转后磨耗量≤4.0g且带CMA标识的检测报告得2分。 2．供应商提供硅PU球场样块获得国家权威检测机构出具的人工模拟酸雨常温浸泡时间1000h后，外观无明显脱色、气泡、裂隙或分层现象，且拉伸强度，拉断伸长率均符合GB36246-2018标准且带CMA标识的检测报告得1分。 3．供应商提供专用球场面漆通过对耐旋转磨耗测试在负重500g/轮（总重1000g）、转数2000转下重量损失&lt;0.7g的测试报告得1分。 4．供应商提供硅PU球场样块获得国家权威检测机构出具的耐人造光色牢度≥6级及以上的带“CMA”和“CNAS”标识的检测报告得1分。 5．供应商提供硅PU球场样块获得国家权威检测机构出具的在（23±2）℃水中18h,（-20±2）℃3h,（50±2）℃烘3h为一次循环，循环20次后，无粉化、无开裂、无剥落、无起泡、无明显变色及失光的带“CMA”和“CNAS”标识的检测报告得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2022年1月1日-投标截止之日，供应商具有类似篮球场业绩的有一项得1.5分；本项最多得3分。注：证明材料以施工合同原件扫描件为依据，日期以合同签订日期为准。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