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农村人居环境整治垃圾压缩车采购项目（第二次）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土默特左旗农牧局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土默特左旗城创项目管理有限公司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150121-TZQCC-GK-20250001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土默特左旗城创项目管理有限公司</w:t>
      </w:r>
      <w:r>
        <w:rPr>
          <w:rFonts w:ascii="仿宋_GB2312" w:hAnsi="仿宋_GB2312" w:cs="仿宋_GB2312" w:eastAsia="仿宋_GB2312"/>
        </w:rPr>
        <w:t xml:space="preserve"> 受 </w:t>
      </w:r>
      <w:r>
        <w:rPr>
          <w:rFonts w:ascii="仿宋_GB2312" w:hAnsi="仿宋_GB2312" w:cs="仿宋_GB2312" w:eastAsia="仿宋_GB2312"/>
        </w:rPr>
        <w:t>土默特左旗农牧局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农村人居环境整治垃圾压缩车采购项目（第二次）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农村人居环境整治垃圾压缩车采购项目（第二次）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150121-TZQCC-GK-20250001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土左政采计划[2025]00015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压缩式垃圾车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土默特左旗城创项目管理有限公司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内蒙古自治区呼和浩特市土默特左旗内蒙古自治区呼和浩特市土默特左旗察素齐镇政府街南全胜路西</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939907252@qq.com</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孟勇</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15247150608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土默特左旗农牧局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土默特左旗察素齐镇敕勒川大街路北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王健风</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15247155736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土默特左旗农牧局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土默特左旗城创项目管理有限公司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全面提高土默特左旗农村人居环境卫生作业水平，优化环卫作业模式，打造洁净、舒适、宜居农村人居环境。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合同签订后15个日历天内交货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1、供货完成、上牌落户完毕，且通过甲方验收合格后，达到付款条件起30日，支付合同总金额的100.00%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标的名称：压缩式垃圾车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一、本项目采购11m³压缩式垃圾车三台，总价报价注意与本项目技术标准与要求相匹配（单位为项），单价报价具体明细。</w:t>
            </w:r>
          </w:p>
          <w:p>
            <w:pPr>
              <w:pStyle w:val="null5"/>
              <w:jc w:val="both"/>
            </w:pPr>
            <w:r>
              <w:rPr>
                <w:rFonts w:ascii="仿宋_GB2312" w:hAnsi="仿宋_GB2312" w:cs="仿宋_GB2312" w:eastAsia="仿宋_GB2312"/>
                <w:sz w:val="21"/>
              </w:rPr>
              <w:t>二、技术参数</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底盘发动机功率</w:t>
            </w:r>
            <w:r>
              <w:rPr>
                <w:rFonts w:ascii="仿宋_GB2312" w:hAnsi="仿宋_GB2312" w:cs="仿宋_GB2312" w:eastAsia="仿宋_GB2312"/>
                <w:sz w:val="21"/>
              </w:rPr>
              <w:t>(kW)</w:t>
            </w:r>
            <w:r>
              <w:rPr>
                <w:rFonts w:ascii="仿宋_GB2312" w:hAnsi="仿宋_GB2312" w:cs="仿宋_GB2312" w:eastAsia="仿宋_GB2312"/>
                <w:sz w:val="21"/>
                <w:color w:val="000000"/>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5</w:t>
            </w:r>
          </w:p>
          <w:p>
            <w:pPr>
              <w:pStyle w:val="null5"/>
              <w:jc w:val="both"/>
            </w:pPr>
            <w:r>
              <w:rPr>
                <w:rFonts w:ascii="仿宋_GB2312" w:hAnsi="仿宋_GB2312" w:cs="仿宋_GB2312" w:eastAsia="仿宋_GB2312"/>
                <w:sz w:val="21"/>
              </w:rPr>
              <w:t>2.排放标准：国六</w:t>
            </w:r>
          </w:p>
          <w:p>
            <w:pPr>
              <w:pStyle w:val="null5"/>
              <w:jc w:val="left"/>
            </w:pPr>
            <w:r>
              <w:rPr>
                <w:rFonts w:ascii="仿宋_GB2312" w:hAnsi="仿宋_GB2312" w:cs="仿宋_GB2312" w:eastAsia="仿宋_GB2312"/>
                <w:sz w:val="21"/>
              </w:rPr>
              <w:t>3.装卸方式：液压举升（后装式）</w:t>
            </w:r>
          </w:p>
          <w:p>
            <w:pPr>
              <w:pStyle w:val="null5"/>
              <w:jc w:val="left"/>
            </w:pPr>
            <w:r>
              <w:rPr>
                <w:rFonts w:ascii="仿宋_GB2312" w:hAnsi="仿宋_GB2312" w:cs="仿宋_GB2312" w:eastAsia="仿宋_GB2312"/>
                <w:sz w:val="21"/>
              </w:rPr>
              <w:t>4.燃料类型：柴油</w:t>
            </w:r>
          </w:p>
          <w:p>
            <w:pPr>
              <w:pStyle w:val="null5"/>
              <w:jc w:val="left"/>
            </w:pPr>
            <w:r>
              <w:rPr>
                <w:rFonts w:ascii="仿宋_GB2312" w:hAnsi="仿宋_GB2312" w:cs="仿宋_GB2312" w:eastAsia="仿宋_GB2312"/>
                <w:sz w:val="21"/>
              </w:rPr>
              <w:t>5.总质量(kg)≥18000</w:t>
            </w:r>
          </w:p>
          <w:p>
            <w:pPr>
              <w:pStyle w:val="null5"/>
              <w:jc w:val="left"/>
            </w:pPr>
            <w:r>
              <w:rPr>
                <w:rFonts w:ascii="仿宋_GB2312" w:hAnsi="仿宋_GB2312" w:cs="仿宋_GB2312" w:eastAsia="仿宋_GB2312"/>
                <w:sz w:val="21"/>
              </w:rPr>
              <w:t>6.外形尺寸：长(mm)≤8660</w:t>
            </w:r>
          </w:p>
          <w:p>
            <w:pPr>
              <w:pStyle w:val="null5"/>
              <w:jc w:val="left"/>
            </w:pPr>
            <w:r>
              <w:rPr>
                <w:rFonts w:ascii="仿宋_GB2312" w:hAnsi="仿宋_GB2312" w:cs="仿宋_GB2312" w:eastAsia="仿宋_GB2312"/>
                <w:sz w:val="21"/>
              </w:rPr>
              <w:t>7.外形尺寸：宽(mm)≤2550</w:t>
            </w:r>
          </w:p>
          <w:p>
            <w:pPr>
              <w:pStyle w:val="null5"/>
              <w:jc w:val="left"/>
            </w:pPr>
            <w:r>
              <w:rPr>
                <w:rFonts w:ascii="仿宋_GB2312" w:hAnsi="仿宋_GB2312" w:cs="仿宋_GB2312" w:eastAsia="仿宋_GB2312"/>
                <w:sz w:val="21"/>
              </w:rPr>
              <w:t>8.外形尺寸：高(mm)≤3400</w:t>
            </w:r>
          </w:p>
          <w:p>
            <w:pPr>
              <w:pStyle w:val="null5"/>
              <w:jc w:val="left"/>
            </w:pPr>
            <w:r>
              <w:rPr>
                <w:rFonts w:ascii="仿宋_GB2312" w:hAnsi="仿宋_GB2312" w:cs="仿宋_GB2312" w:eastAsia="仿宋_GB2312"/>
                <w:sz w:val="21"/>
              </w:rPr>
              <w:t>9.垃圾箱有效容积(m³)≥15</w:t>
            </w:r>
          </w:p>
          <w:p>
            <w:pPr>
              <w:pStyle w:val="null5"/>
              <w:jc w:val="left"/>
            </w:pPr>
            <w:r>
              <w:rPr>
                <w:rFonts w:ascii="仿宋_GB2312" w:hAnsi="仿宋_GB2312" w:cs="仿宋_GB2312" w:eastAsia="仿宋_GB2312"/>
                <w:sz w:val="21"/>
              </w:rPr>
              <w:t>10.卸料作业一次循环时间(s)≤90</w:t>
            </w:r>
          </w:p>
          <w:p>
            <w:pPr>
              <w:pStyle w:val="null5"/>
              <w:jc w:val="left"/>
            </w:pPr>
            <w:r>
              <w:rPr>
                <w:rFonts w:ascii="仿宋_GB2312" w:hAnsi="仿宋_GB2312" w:cs="仿宋_GB2312" w:eastAsia="仿宋_GB2312"/>
                <w:sz w:val="21"/>
              </w:rPr>
              <w:t>11.上料作业一次循环时间(s)≤20</w:t>
            </w:r>
          </w:p>
          <w:p>
            <w:pPr>
              <w:pStyle w:val="null5"/>
              <w:jc w:val="left"/>
            </w:pPr>
            <w:r>
              <w:rPr>
                <w:rFonts w:ascii="仿宋_GB2312" w:hAnsi="仿宋_GB2312" w:cs="仿宋_GB2312" w:eastAsia="仿宋_GB2312"/>
                <w:sz w:val="21"/>
              </w:rPr>
              <w:t>12.控制方式：电控、遥控、手动</w:t>
            </w:r>
          </w:p>
          <w:p>
            <w:pPr>
              <w:pStyle w:val="null5"/>
              <w:jc w:val="left"/>
            </w:pPr>
            <w:r>
              <w:rPr>
                <w:rFonts w:ascii="仿宋_GB2312" w:hAnsi="仿宋_GB2312" w:cs="仿宋_GB2312" w:eastAsia="仿宋_GB2312"/>
                <w:sz w:val="21"/>
              </w:rPr>
              <w:t>13.垃圾箱侧板采用整板折弯成型，曲面设计提高整体框架刚度。</w:t>
            </w:r>
          </w:p>
          <w:p>
            <w:pPr>
              <w:pStyle w:val="null5"/>
              <w:jc w:val="left"/>
            </w:pPr>
            <w:r>
              <w:rPr>
                <w:rFonts w:ascii="仿宋_GB2312" w:hAnsi="仿宋_GB2312" w:cs="仿宋_GB2312" w:eastAsia="仿宋_GB2312"/>
                <w:sz w:val="21"/>
              </w:rPr>
              <w:t>14.垃圾箱内需布置有推铲结构，在液压油缸驱动下沿垃圾箱轨道滑动，完成卸料作业。</w:t>
            </w:r>
          </w:p>
          <w:p>
            <w:pPr>
              <w:pStyle w:val="null5"/>
              <w:jc w:val="left"/>
            </w:pPr>
            <w:r>
              <w:rPr>
                <w:rFonts w:ascii="仿宋_GB2312" w:hAnsi="仿宋_GB2312" w:cs="仿宋_GB2312" w:eastAsia="仿宋_GB2312"/>
                <w:sz w:val="21"/>
              </w:rPr>
              <w:t>15.滑板油缸需布置在填装器内部，压装垃圾过程中，滑板油缸驱动滑板和刮板下行，挤压和破碎垃圾能力更强，填装能力强，结构布局紧凑。</w:t>
            </w:r>
          </w:p>
          <w:p>
            <w:pPr>
              <w:pStyle w:val="null5"/>
              <w:jc w:val="left"/>
            </w:pPr>
            <w:r>
              <w:rPr>
                <w:rFonts w:ascii="仿宋_GB2312" w:hAnsi="仿宋_GB2312" w:cs="仿宋_GB2312" w:eastAsia="仿宋_GB2312"/>
                <w:sz w:val="21"/>
              </w:rPr>
              <w:t>16.液压阀组整体需布置于垃圾箱前端液压阀箱内,箱体可遮盖液压阀和管路，可防雨水腐蚀, 并有锁扣保护。</w:t>
            </w:r>
          </w:p>
          <w:p>
            <w:pPr>
              <w:pStyle w:val="null5"/>
              <w:jc w:val="left"/>
            </w:pPr>
            <w:r>
              <w:rPr>
                <w:rFonts w:ascii="仿宋_GB2312" w:hAnsi="仿宋_GB2312" w:cs="仿宋_GB2312" w:eastAsia="仿宋_GB2312"/>
                <w:sz w:val="21"/>
              </w:rPr>
              <w:t>17.填装器上的压填机构需通过滑板滑行运动与刮板转动完成对填装器料斗中的垃圾进行压缩并装填到垃圾箱内。</w:t>
            </w:r>
          </w:p>
          <w:p>
            <w:pPr>
              <w:pStyle w:val="null5"/>
              <w:jc w:val="left"/>
            </w:pPr>
            <w:r>
              <w:rPr>
                <w:rFonts w:ascii="仿宋_GB2312" w:hAnsi="仿宋_GB2312" w:cs="仿宋_GB2312" w:eastAsia="仿宋_GB2312"/>
                <w:sz w:val="21"/>
              </w:rPr>
              <w:t>18.为确保垃圾箱后端面的密封性，防止污水流出，需设计有独立锁钩对填装器进行锁紧，使得垃圾箱后端面与填装器结合面处的密封条始终保持压缩状态，确保填装器与垃圾箱的结合面良好密封性能。</w:t>
            </w:r>
          </w:p>
          <w:p>
            <w:pPr>
              <w:pStyle w:val="null5"/>
              <w:jc w:val="left"/>
            </w:pPr>
            <w:r>
              <w:rPr>
                <w:rFonts w:ascii="仿宋_GB2312" w:hAnsi="仿宋_GB2312" w:cs="仿宋_GB2312" w:eastAsia="仿宋_GB2312"/>
                <w:sz w:val="21"/>
              </w:rPr>
              <w:t>19.作业控制盒需分别安装在驾驶室内和车尾，驾驶室内的作业控制盒可控制推挤卸料和选择操作模式，车尾的作业控制盒控制压填机构和上料机构的作业。在垃圾填埋场，作业人员无须下车即可完成卸料。</w:t>
            </w:r>
          </w:p>
          <w:p>
            <w:pPr>
              <w:pStyle w:val="null5"/>
              <w:jc w:val="left"/>
            </w:pPr>
            <w:r>
              <w:rPr>
                <w:rFonts w:ascii="仿宋_GB2312" w:hAnsi="仿宋_GB2312" w:cs="仿宋_GB2312" w:eastAsia="仿宋_GB2312"/>
                <w:sz w:val="21"/>
              </w:rPr>
              <w:t>20.发动机功率输出控制需通过电气系统实现全自动控制，保证垃圾车在其各作业状态下，发动机能自动选择加速和怠速状态，避免功率损耗和系统发热。</w:t>
            </w:r>
          </w:p>
          <w:p>
            <w:pPr>
              <w:pStyle w:val="null5"/>
              <w:jc w:val="left"/>
            </w:pPr>
            <w:r>
              <w:rPr>
                <w:rFonts w:ascii="仿宋_GB2312" w:hAnsi="仿宋_GB2312" w:cs="仿宋_GB2312" w:eastAsia="仿宋_GB2312"/>
                <w:sz w:val="21"/>
              </w:rPr>
              <w:t>21.液压系统需采用“双泵”系统，能有效减小系统节流损失和溢流损失、降低能耗和噪声。</w:t>
            </w:r>
          </w:p>
          <w:p>
            <w:pPr>
              <w:pStyle w:val="null5"/>
              <w:jc w:val="left"/>
            </w:pPr>
            <w:r>
              <w:rPr>
                <w:rFonts w:ascii="仿宋_GB2312" w:hAnsi="仿宋_GB2312" w:cs="仿宋_GB2312" w:eastAsia="仿宋_GB2312"/>
                <w:sz w:val="21"/>
              </w:rPr>
              <w:t>22.需采用气控多路换向阀，结构简单，维护、维修成本低。</w:t>
            </w:r>
          </w:p>
          <w:p>
            <w:pPr>
              <w:pStyle w:val="null5"/>
              <w:jc w:val="left"/>
            </w:pPr>
            <w:r>
              <w:rPr>
                <w:rFonts w:ascii="仿宋_GB2312" w:hAnsi="仿宋_GB2312" w:cs="仿宋_GB2312" w:eastAsia="仿宋_GB2312"/>
                <w:sz w:val="21"/>
              </w:rPr>
              <w:t>23.需采用的“CAN总线+专用控制器模式”，自动化程度高，可靠性好，故障率低，使用寿命长。</w:t>
            </w:r>
          </w:p>
          <w:p>
            <w:pPr>
              <w:pStyle w:val="null5"/>
              <w:jc w:val="left"/>
            </w:pPr>
            <w:r>
              <w:rPr>
                <w:rFonts w:ascii="仿宋_GB2312" w:hAnsi="仿宋_GB2312" w:cs="仿宋_GB2312" w:eastAsia="仿宋_GB2312"/>
                <w:sz w:val="21"/>
              </w:rPr>
              <w:t>24.车辆上需装有报警装置，进行涉及到安全的操作时可报警提示操作人员谨慎操作。</w:t>
            </w:r>
          </w:p>
          <w:p>
            <w:pPr>
              <w:pStyle w:val="null5"/>
              <w:jc w:val="left"/>
            </w:pPr>
            <w:r>
              <w:rPr>
                <w:rFonts w:ascii="仿宋_GB2312" w:hAnsi="仿宋_GB2312" w:cs="仿宋_GB2312" w:eastAsia="仿宋_GB2312"/>
                <w:sz w:val="21"/>
              </w:rPr>
              <w:t>25.需设置有液压举升安全回路，在填装器举升过程中即使油管爆裂，填装器也不会突然下降造成恶性事故。</w:t>
            </w:r>
          </w:p>
          <w:p>
            <w:pPr>
              <w:pStyle w:val="null5"/>
              <w:jc w:val="left"/>
            </w:pPr>
            <w:r>
              <w:rPr>
                <w:rFonts w:ascii="仿宋_GB2312" w:hAnsi="仿宋_GB2312" w:cs="仿宋_GB2312" w:eastAsia="仿宋_GB2312"/>
                <w:sz w:val="21"/>
              </w:rPr>
              <w:t>26.垃圾箱上需设有安全撑杆，避免填装器下降伤人。</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额定载质量</w:t>
            </w:r>
            <w:r>
              <w:rPr>
                <w:rFonts w:ascii="仿宋_GB2312" w:hAnsi="仿宋_GB2312" w:cs="仿宋_GB2312" w:eastAsia="仿宋_GB2312"/>
                <w:sz w:val="21"/>
              </w:rPr>
              <w:t>(kg)</w:t>
            </w:r>
            <w:r>
              <w:rPr>
                <w:rFonts w:ascii="仿宋_GB2312" w:hAnsi="仿宋_GB2312" w:cs="仿宋_GB2312" w:eastAsia="仿宋_GB2312"/>
                <w:sz w:val="21"/>
              </w:rPr>
              <w:t>≥</w:t>
            </w:r>
            <w:r>
              <w:rPr>
                <w:rFonts w:ascii="仿宋_GB2312" w:hAnsi="仿宋_GB2312" w:cs="仿宋_GB2312" w:eastAsia="仿宋_GB2312"/>
                <w:sz w:val="21"/>
              </w:rPr>
              <w:t>7516</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整备</w:t>
            </w:r>
            <w:r>
              <w:rPr>
                <w:rFonts w:ascii="仿宋_GB2312" w:hAnsi="仿宋_GB2312" w:cs="仿宋_GB2312" w:eastAsia="仿宋_GB2312"/>
                <w:sz w:val="21"/>
              </w:rPr>
              <w:t>质量</w:t>
            </w:r>
            <w:r>
              <w:rPr>
                <w:rFonts w:ascii="仿宋_GB2312" w:hAnsi="仿宋_GB2312" w:cs="仿宋_GB2312" w:eastAsia="仿宋_GB2312"/>
                <w:sz w:val="21"/>
              </w:rPr>
              <w:t>(kg)</w:t>
            </w:r>
            <w:r>
              <w:rPr>
                <w:rFonts w:ascii="仿宋_GB2312" w:hAnsi="仿宋_GB2312" w:cs="仿宋_GB2312" w:eastAsia="仿宋_GB2312"/>
                <w:sz w:val="21"/>
                <w:color w:val="000000"/>
              </w:rPr>
              <w:t>≤</w:t>
            </w:r>
            <w:r>
              <w:rPr>
                <w:rFonts w:ascii="仿宋_GB2312" w:hAnsi="仿宋_GB2312" w:cs="仿宋_GB2312" w:eastAsia="仿宋_GB2312"/>
                <w:sz w:val="21"/>
              </w:rPr>
              <w:t>9420</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接近角／离去角（°)≥</w:t>
            </w:r>
            <w:r>
              <w:rPr>
                <w:rFonts w:ascii="仿宋_GB2312" w:hAnsi="仿宋_GB2312" w:cs="仿宋_GB2312" w:eastAsia="仿宋_GB2312"/>
                <w:sz w:val="21"/>
              </w:rPr>
              <w:t>19</w:t>
            </w:r>
            <w:r>
              <w:rPr>
                <w:rFonts w:ascii="仿宋_GB2312" w:hAnsi="仿宋_GB2312" w:cs="仿宋_GB2312" w:eastAsia="仿宋_GB2312"/>
                <w:sz w:val="21"/>
              </w:rPr>
              <w:t>/12</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color w:val="000000"/>
              </w:rPr>
              <w:t>前悬/后悬（mm）≥1260/2350</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rPr>
              <w:t>三、其他要求：车辆价格需包含购置税、发票、交强险、车辆上牌等相关费用。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技术水平及性能</w:t>
            </w:r>
          </w:p>
        </w:tc>
        <w:tc>
          <w:tcPr>
            <w:tcW w:type="dxa" w:w="3115"/>
          </w:tcPr>
          <w:p>
            <w:pPr>
              <w:pStyle w:val="null5"/>
              <w:jc w:val="left"/>
            </w:pPr>
            <w:r>
              <w:rPr>
                <w:rFonts w:ascii="仿宋_GB2312" w:hAnsi="仿宋_GB2312" w:cs="仿宋_GB2312" w:eastAsia="仿宋_GB2312"/>
              </w:rPr>
              <w:t>货物规格、技术参数和配置全部满足招标文件要求的得27分。 标注“★” 的技术参数要求必须满足，否则视为无效投标。 无标注的技术参数，每不符合一项扣1.5 分，扣完为止。 注：①投标人须对本项目技术参数内容进行一一应答并按要求填写技术偏离表，在引用招标文件的基础上，进行逐条逐项答复、说明和解释。 ②如技术响应中出现缺项、漏项或未按照要求应答的视为负偏离。 ③佐证材料（车辆以国家工信部提供的公告页参数为准）( 装备器材以第三方检测报告或生产厂家出具的技术白皮书为准）。若提供的资料内容出现不一致，以检测报告为准。技术偏离表中备注内容须包括具体说明、佐证文件名称，未按上述要求填写技术偏离表、备注内容所提供的佐证文件或佐证材料提供的材料模糊不清等影响评审情况的不得分。</w:t>
            </w:r>
          </w:p>
        </w:tc>
        <w:tc>
          <w:tcPr>
            <w:tcW w:type="dxa" w:w="1038"/>
          </w:tcPr>
          <w:p>
            <w:pPr>
              <w:pStyle w:val="null5"/>
              <w:jc w:val="right"/>
            </w:pPr>
            <w:r>
              <w:rPr>
                <w:rFonts w:ascii="仿宋_GB2312" w:hAnsi="仿宋_GB2312" w:cs="仿宋_GB2312" w:eastAsia="仿宋_GB2312"/>
              </w:rPr>
              <w:t>27.00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进度计划</w:t>
            </w:r>
          </w:p>
        </w:tc>
        <w:tc>
          <w:tcPr>
            <w:tcW w:type="dxa" w:w="3115"/>
          </w:tcPr>
          <w:p>
            <w:pPr>
              <w:pStyle w:val="null5"/>
              <w:jc w:val="left"/>
            </w:pPr>
            <w:r>
              <w:rPr>
                <w:rFonts w:ascii="仿宋_GB2312" w:hAnsi="仿宋_GB2312" w:cs="仿宋_GB2312" w:eastAsia="仿宋_GB2312"/>
              </w:rPr>
              <w:t>项目供货进度计划内容完善，时间安排切实可行，计划内容包括：①供货计划制定；②项目组织和资源配置；③供货流程和质量控制；④进度监控及应急措施。本项满分6分，以上各项描述全面、环节设置合理得6-4（含 ) 分；内容较完整、环节设置较合理的，得4-2（含）分；每项内容中存 在缺陷或不足、内容不完整或不符合项目实际情况的得2-1分。无项目实施进度计划得0分。（注：缺陷或不足是指内容逻辑混乱，不符合相关的国家、行业标准。不完整指内容具有明显缺陷，前后内容无法连贯；不符合项目实际情况指内容脱离实际情况，不利于采购人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供货方案符合项目需求且产品包装、发运计划方案详细、实用、可行，方案内容应包含： ①产品包装方式；②供货运输计划；③运输风险预防； ④运输损坏处理；⑤配送作业流程及人员安排；⑥到货交接方案等。本项满分9分，以上各项合理、全面完整、明晰、切实可行得9-7（含）分；内容 较合理、较全面完整、较明晰，得7-4（含）分；每项内容中存在缺陷或不足、内容不完整或不符合项目实际情况的得4-1分。无供货方案得0分。（注：缺陷或不足是指内容逻辑混乱，不符合相关的国家、行业标准。不完整指内容具有明显缺陷，前后内容无法连贯；不符合项目实际情况指内容脱离实际情况，不利于采购人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产品质量保证方案完善合理、切实可行，方案内容应包含： ①质量控制制度及措施；②产品选材、选型； ③质保期内备品备件、易损件的供应及价格优惠。本项满分6分，以上各项合理、全面完整、明晰、切实可行得6-4（含）分；内容较合理、较全面完整、较明晰，得4-2（含) 分；每项内容中存在缺陷或不足、内容不完整或不符合项目实际情况的 得2-1分。无质量保证方案得0分。 （注：缺陷或不足是指内容逻辑混乱，不符合相关的国家、行业标准。不完整指内容具有明显缺陷，前后内容无法连贯；不符合项目实际情况指内容脱离实际情况，不利于采购人实施。）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技术培训方案符合本项目实际使用情况，方案内容应包含： ①培训内容、 方式及培训人员安排；②设备操作注意事项； ③常见故障排除；④维修保养事项；本项满分4分。以上各项合理、全面完整、明晰、切实可行，得4-3（含）分；内容较合理、较全面完整、较明晰，得3-2（含）分；每项内容中存在缺陷或不足、内容不完整或不符合项目实际情况的得2-1分。无培训方案得0分。（注：缺陷或不足是指内容逻辑混乱，不符合相关的 国家、行业标准。不完整指内容具有明显缺陷，前后内容无法连贯；不符合项目实际情况指内容脱离实际情况，不利于采购人实施。）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近三年（2022年1月至提交投标文件截止时间）的同类产品销售业绩，提供供货合同及发票，每提供一项得2分，此项最高得8分。（注：业绩时间以合同签订日期为准，合同须包括签订日期、签字盖章页及能体现采购内容（货物清单）信息等关键页）</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提供完善的售后服务方案，方案内容应包含：①售后服务组织方案；②质保期内维修保养服务方案；③巡访服务方案；④备品备件供应方案及详细收费标准⑤提供设备售后故障维修响应方式 、响应时间、维修完成时间保障措施；本项满分10分。以上各项描述全面、环节设置合理得10-7（含）分；内容较完整、环节设置较合理的，得7- 4（含）分；每项内容中存在缺陷或不足、内容不完整或不符合项目实际情况的得4-1分。无售后服务得0分。 （注：缺陷或不足是指内容逻辑混乱,不符合相关的国家、行业标准。不完整指内容具有明显缺陷，前后内容 无法连贯；不符合项目实际情况指内容脱离实际情况，不利于采购人实施。）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