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托克托县2024年中央财政秸秆综合利用项目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托克托县农牧技术推广中心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内蒙古百年工程项目管理有限责任公司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150122-BNXT-GK-20250001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内蒙古百年工程项目管理有限责任公司</w:t>
      </w:r>
      <w:r>
        <w:rPr>
          <w:rFonts w:ascii="仿宋_GB2312" w:hAnsi="仿宋_GB2312" w:cs="仿宋_GB2312" w:eastAsia="仿宋_GB2312"/>
        </w:rPr>
        <w:t xml:space="preserve"> 受 </w:t>
      </w:r>
      <w:r>
        <w:rPr>
          <w:rFonts w:ascii="仿宋_GB2312" w:hAnsi="仿宋_GB2312" w:cs="仿宋_GB2312" w:eastAsia="仿宋_GB2312"/>
        </w:rPr>
        <w:t>托克托县农牧技术推广中心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托克托县2024年中央财政秸秆综合利用项目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托克托县2024年中央财政秸秆综合利用项目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150122-BNXT-GK-20250001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托政采计划[2025]00002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废弃物热解气化氧化处理设备</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1、特殊资格要求：无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内蒙古百年工程项目管理有限责任公司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内蒙古自治区呼和浩特市赛罕区腾飞南路腾飞大厦B座19层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刘纹莲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0471-3905583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托克托县农牧技术推广中心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托克托县双河镇云中南路25号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15147131778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代理服务费收费标准：代理费用：以中标通知书中载明的中标总价为计算基础，参照内工建协【2022】34号文件收费标准收取；代理费用收取方式：中标（成交）供应商支付</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托克托县农牧技术推广中心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内蒙古百年工程项目管理有限责任公司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审查投供应商2023年度经会计师事务所出具的财务审计报告或其基本开户银行出具的近一年内银行资信证明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1.提供投标截止之日前6个月内任意1个月的良好缴纳税收的相关凭据； 2.提供投标截止之日前6个月内任意1个月缴纳社会保险的凭证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开标结束后资格审查时，投标人未被列入失信被执行人、重大税收违法失信主体、政府采购严重违法失信行为记录名单。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特殊资格要求</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落实政府采购政策</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购买3台秸秆综合利用废弃物热解气化处理设备。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自合同签订之日起合同签订后15日历天内交货日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1、1期：支付比例100% ，本项目审计结束后据实结算，达到付款条件起30日，支付合同总金额的100.00%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1、期次1，说明：1期：满足甲方需求，符合国家及行业相关标准</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投标有效期：从提交投标（响应）文件的截止之日起90日历天</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标的名称：废弃物热解气化氧化处理设备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配套附属设备</w:t>
            </w:r>
            <w:r>
              <w:rPr>
                <w:rFonts w:ascii="仿宋_GB2312" w:hAnsi="仿宋_GB2312" w:cs="仿宋_GB2312" w:eastAsia="仿宋_GB2312"/>
                <w:sz w:val="21"/>
                <w:b/>
                <w:color w:val="000000"/>
              </w:rPr>
              <w:t>主要</w:t>
            </w:r>
            <w:r>
              <w:rPr>
                <w:rFonts w:ascii="仿宋_GB2312" w:hAnsi="仿宋_GB2312" w:cs="仿宋_GB2312" w:eastAsia="仿宋_GB2312"/>
                <w:sz w:val="21"/>
                <w:b/>
                <w:color w:val="000000"/>
              </w:rPr>
              <w:t>包括：</w:t>
            </w:r>
          </w:p>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、废弃物</w:t>
            </w:r>
            <w:r>
              <w:rPr>
                <w:rFonts w:ascii="仿宋_GB2312" w:hAnsi="仿宋_GB2312" w:cs="仿宋_GB2312" w:eastAsia="仿宋_GB2312"/>
                <w:sz w:val="21"/>
                <w:color w:val="000000"/>
              </w:rPr>
              <w:t>热解气化氧化处理装置</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净化装置</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废气排放管</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柴油燃烧器</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循环水箱</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循环水泵</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耐高温波纹管</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单机日处理</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5吨。</w:t>
            </w:r>
          </w:p>
          <w:p>
            <w:pPr>
              <w:pStyle w:val="null5"/>
              <w:jc w:val="left"/>
            </w:pPr>
            <w:r>
              <w:rPr>
                <w:rFonts w:ascii="仿宋_GB2312" w:hAnsi="仿宋_GB2312" w:cs="仿宋_GB2312" w:eastAsia="仿宋_GB2312"/>
                <w:sz w:val="21"/>
                <w:b/>
                <w:color w:val="000000"/>
              </w:rPr>
              <w:t>三、技术要求：</w:t>
            </w:r>
          </w:p>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采用无动力厌氧热解气化技术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高效氧化技术对有机固体废物（地膜等）进行无害化、减量化处理。气化介质为空气。将处理物料进行气化制气，所得燃气在直接进入高效氧化装置进行氧化燃烧，剩余微量的废气再通过双减法净化装置除尘净化处理后达标排放。</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为了适应野外作业环境，装备应为一体化撬装式结构，具有野外作业功能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总容量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1kw/h</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设备产生热源可进行综合利用</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4"/>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技术规格及参数要求、需满足的质量、安全、技术规格、物理特性等要求需执行的国家相关标准、行业标准、地方标准或者其他标准、规范符合国家、行业相关标准及中国环保机械行业协会发布的有机固体废物热解气化处理装备技术规范。</w:t>
            </w:r>
          </w:p>
          <w:p>
            <w:pPr>
              <w:pStyle w:val="null5"/>
              <w:jc w:val="left"/>
            </w:pPr>
            <w:r>
              <w:rPr>
                <w:rFonts w:ascii="仿宋_GB2312" w:hAnsi="仿宋_GB2312" w:cs="仿宋_GB2312" w:eastAsia="仿宋_GB2312"/>
                <w:sz w:val="21"/>
                <w:b/>
                <w:color w:val="000000"/>
              </w:rPr>
              <w:t>四、备品备件要求：</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年内免费提供，终身优惠。</w:t>
            </w:r>
          </w:p>
          <w:p>
            <w:pPr>
              <w:pStyle w:val="null5"/>
              <w:jc w:val="left"/>
            </w:pPr>
            <w:r>
              <w:rPr>
                <w:rFonts w:ascii="仿宋_GB2312" w:hAnsi="仿宋_GB2312" w:cs="仿宋_GB2312" w:eastAsia="仿宋_GB2312"/>
                <w:sz w:val="21"/>
                <w:b/>
                <w:color w:val="000000"/>
              </w:rPr>
              <w:t>五、技术服务及培训要求：</w:t>
            </w:r>
          </w:p>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、技术服务：质保期内提供免费的技术支持，中标供应商指派专业技术人员在对采购人进行技术指导，效果需达到采购人的要求。技术人员支出费用由中标供应商承担。</w:t>
            </w:r>
          </w:p>
          <w:p>
            <w:pPr>
              <w:pStyle w:val="null5"/>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、培训：由专职技术人员对所采购货物进行操作、维护等现场培训。现场培训不少于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名专业技术人员全程参与，直至采购方人员学会为止。合同签订完</w:t>
            </w:r>
            <w:r>
              <w:rPr>
                <w:rFonts w:ascii="仿宋_GB2312" w:hAnsi="仿宋_GB2312" w:cs="仿宋_GB2312" w:eastAsia="仿宋_GB2312"/>
                <w:sz w:val="21"/>
                <w:color w:val="000000"/>
              </w:rPr>
              <w:t>60</w:t>
            </w:r>
            <w:r>
              <w:rPr>
                <w:rFonts w:ascii="仿宋_GB2312" w:hAnsi="仿宋_GB2312" w:cs="仿宋_GB2312" w:eastAsia="仿宋_GB2312"/>
                <w:sz w:val="21"/>
                <w:color w:val="000000"/>
              </w:rPr>
              <w:t>天内完成培训，如逾期未完成培训，采购人有权要求延长培训时间，更换培训人员，并追究供应商的履约责任。技术培训人员及培训方面的保障措施及收费标准的要求：</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小时专职技术支持，随时保障实验顺利完成和终身免费技术支持服务。</w:t>
            </w:r>
          </w:p>
          <w:p>
            <w:pPr>
              <w:pStyle w:val="null5"/>
              <w:jc w:val="left"/>
            </w:pPr>
            <w:r>
              <w:rPr>
                <w:rFonts w:ascii="仿宋_GB2312" w:hAnsi="仿宋_GB2312" w:cs="仿宋_GB2312" w:eastAsia="仿宋_GB2312"/>
                <w:sz w:val="21"/>
                <w:b/>
                <w:color w:val="000000"/>
              </w:rPr>
              <w:t>六、其他要求：</w:t>
            </w:r>
          </w:p>
          <w:p>
            <w:pPr>
              <w:pStyle w:val="null5"/>
              <w:jc w:val="left"/>
            </w:pPr>
            <w:r>
              <w:rPr>
                <w:rFonts w:ascii="仿宋_GB2312" w:hAnsi="仿宋_GB2312" w:cs="仿宋_GB2312" w:eastAsia="仿宋_GB2312"/>
                <w:sz w:val="21"/>
                <w:color w:val="000000"/>
              </w:rPr>
              <w:t>质量保证期：</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5"/>
              <w:jc w:val="left"/>
            </w:pPr>
            <w:r>
              <w:rPr>
                <w:rFonts w:ascii="仿宋_GB2312" w:hAnsi="仿宋_GB2312" w:cs="仿宋_GB2312" w:eastAsia="仿宋_GB2312"/>
                <w:sz w:val="21"/>
                <w:color w:val="000000"/>
              </w:rPr>
              <w:t>热线支持：</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小时内响应；</w:t>
            </w:r>
          </w:p>
          <w:p>
            <w:pPr>
              <w:pStyle w:val="null5"/>
              <w:jc w:val="left"/>
            </w:pPr>
            <w:r>
              <w:rPr>
                <w:rFonts w:ascii="仿宋_GB2312" w:hAnsi="仿宋_GB2312" w:cs="仿宋_GB2312" w:eastAsia="仿宋_GB2312"/>
                <w:sz w:val="21"/>
                <w:color w:val="000000"/>
              </w:rPr>
              <w:t>现场支持：</w:t>
            </w:r>
            <w:r>
              <w:rPr>
                <w:rFonts w:ascii="仿宋_GB2312" w:hAnsi="仿宋_GB2312" w:cs="仿宋_GB2312" w:eastAsia="仿宋_GB2312"/>
                <w:sz w:val="21"/>
                <w:color w:val="000000"/>
              </w:rPr>
              <w:t>12</w:t>
            </w:r>
            <w:r>
              <w:rPr>
                <w:rFonts w:ascii="仿宋_GB2312" w:hAnsi="仿宋_GB2312" w:cs="仿宋_GB2312" w:eastAsia="仿宋_GB2312"/>
                <w:sz w:val="21"/>
                <w:color w:val="000000"/>
              </w:rPr>
              <w:t>小时内到达。</w:t>
            </w:r>
          </w:p>
          <w:p>
            <w:pPr>
              <w:pStyle w:val="null5"/>
              <w:jc w:val="left"/>
            </w:pPr>
            <w:r>
              <w:rPr>
                <w:rFonts w:ascii="仿宋_GB2312" w:hAnsi="仿宋_GB2312" w:cs="仿宋_GB2312" w:eastAsia="仿宋_GB2312"/>
                <w:sz w:val="21"/>
                <w:b/>
                <w:color w:val="000000"/>
              </w:rPr>
              <w:t>供应商</w:t>
            </w:r>
            <w:r>
              <w:rPr>
                <w:rFonts w:ascii="仿宋_GB2312" w:hAnsi="仿宋_GB2312" w:cs="仿宋_GB2312" w:eastAsia="仿宋_GB2312"/>
                <w:sz w:val="21"/>
                <w:b/>
                <w:color w:val="000000"/>
              </w:rPr>
              <w:t>需</w:t>
            </w:r>
            <w:r>
              <w:rPr>
                <w:rFonts w:ascii="仿宋_GB2312" w:hAnsi="仿宋_GB2312" w:cs="仿宋_GB2312" w:eastAsia="仿宋_GB2312"/>
                <w:sz w:val="21"/>
                <w:b/>
                <w:color w:val="000000"/>
              </w:rPr>
              <w:t>提供两年运维服务，所产生的运维费用包含在投标报价中</w:t>
            </w:r>
            <w:r>
              <w:rPr>
                <w:rFonts w:ascii="仿宋_GB2312" w:hAnsi="仿宋_GB2312" w:cs="仿宋_GB2312" w:eastAsia="仿宋_GB2312"/>
                <w:sz w:val="21"/>
                <w:b/>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审查投标文件对招标文件技术参数的响应程度：完全满足招标文件技术要求得6分；“★”号项为实质性条款（共1项），不得出现不满足（负偏离），发生负偏离按无效标处理。 其余项（无标记）为一般技术参数，每有一项不满足（负偏离）扣1分，共计6分，扣完为止。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产品整体质量状况</w:t>
            </w:r>
          </w:p>
        </w:tc>
        <w:tc>
          <w:tcPr>
            <w:tcW w:type="dxa" w:w="3115"/>
          </w:tcPr>
          <w:p>
            <w:pPr>
              <w:pStyle w:val="null5"/>
              <w:jc w:val="left"/>
            </w:pPr>
            <w:r>
              <w:rPr>
                <w:rFonts w:ascii="仿宋_GB2312" w:hAnsi="仿宋_GB2312" w:cs="仿宋_GB2312" w:eastAsia="仿宋_GB2312"/>
              </w:rPr>
              <w:t>根据投标人提供的产品整体质量状况评审： （1）所投产品整体品质优良、功能完善（0-2分）； （2）所投产品的检验报告、配置清单(说明)和产品彩页等相关技术资料齐全（0-2分）； （3）投标文件中质保期内和质保期外的备品备件清单和价格明细详细，备品备件充足程度，计划充分（0-2分）； 针对以上内容进行评价，本项最高6分，无内容不得分。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根据投标人提供的项目实施方案评审： （1）供货方案及工作部署（0-3分）； （2）运输方式及渠道（0-3分）； （3）供货过程中质量监控及应对措施（0-3分）； （4）计划合理的供货时间（0-3分）； （5）产品质量保证措施（0-3分）； （6）设备安装、调试、试运行方案（0-3分）； （7）应急措施包括承担事故责任的能力、安全防范措施（0-3分）； 针对以上内容进行评价，本项最高21分，无内容不得分。</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产品功能</w:t>
            </w:r>
          </w:p>
        </w:tc>
        <w:tc>
          <w:tcPr>
            <w:tcW w:type="dxa" w:w="3115"/>
          </w:tcPr>
          <w:p>
            <w:pPr>
              <w:pStyle w:val="null5"/>
              <w:jc w:val="left"/>
            </w:pPr>
            <w:r>
              <w:rPr>
                <w:rFonts w:ascii="仿宋_GB2312" w:hAnsi="仿宋_GB2312" w:cs="仿宋_GB2312" w:eastAsia="仿宋_GB2312"/>
              </w:rPr>
              <w:t>根据投标人提供的产品配置进行评审： （1）产品配置齐全（0-3分）； （2）操作方便（0-2分）； （3）安全性（0-3分）； （4）稳定性和可靠性（0-2分）； （5）产品功能完善性（0-2分）； （6）技术先进性（0-2分）； 针对以上内容进行评价，本项最高14分，无内容不得分。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项目培训方案</w:t>
            </w:r>
          </w:p>
        </w:tc>
        <w:tc>
          <w:tcPr>
            <w:tcW w:type="dxa" w:w="3115"/>
          </w:tcPr>
          <w:p>
            <w:pPr>
              <w:pStyle w:val="null5"/>
              <w:jc w:val="left"/>
            </w:pPr>
            <w:r>
              <w:rPr>
                <w:rFonts w:ascii="仿宋_GB2312" w:hAnsi="仿宋_GB2312" w:cs="仿宋_GB2312" w:eastAsia="仿宋_GB2312"/>
              </w:rPr>
              <w:t>根据投标人提供的培训方案进行评审： （1）设备操作培训内容（0-3分）； （2）日常使用中故障分析、故障预防内容（0-3分）； （3）培训时间安排、培训方式和培训人员力量（0-3分）； 对以上内容进行评价，本项最多得9分，无内容不得分。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售后服务承诺及方案</w:t>
            </w:r>
          </w:p>
        </w:tc>
        <w:tc>
          <w:tcPr>
            <w:tcW w:type="dxa" w:w="3115"/>
          </w:tcPr>
          <w:p>
            <w:pPr>
              <w:pStyle w:val="null5"/>
              <w:jc w:val="left"/>
            </w:pPr>
            <w:r>
              <w:rPr>
                <w:rFonts w:ascii="仿宋_GB2312" w:hAnsi="仿宋_GB2312" w:cs="仿宋_GB2312" w:eastAsia="仿宋_GB2312"/>
              </w:rPr>
              <w:t>根据投标人提供的售后服务方案进行评审：方案包括但不限于： （1）售后服务承诺和质保期内、外应急管理与替代措施（0-2分）； （2）质保期内、外设备故障的响应时间（0-2分）； （3）人员到场计划、处理流程、替换措施、维修及恢复解决方案（0-2分）； 针对以上内容进行评价，本项最高6分，无内容不得分。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3年（2022年1月至今）完成的类似业绩（与本次采购内容相同或相似的业绩），每提供一个得2分，最多得8分。（注：需提供合同，合同需提供首页、基本内容页、盖章页等可证明业绩内容的关键页，日期以合同签订日期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