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清水河县三个森林公园总体规划编制服务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清水河县林业和草原局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内蒙古坤如工程管理有限公司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150124-NMGKR-CS-20250001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内蒙古坤如工程管理有限公司</w:t>
      </w:r>
      <w:r>
        <w:rPr>
          <w:rFonts w:ascii="仿宋_GB2312" w:hAnsi="仿宋_GB2312" w:cs="仿宋_GB2312" w:eastAsia="仿宋_GB2312"/>
        </w:rPr>
        <w:t xml:space="preserve"> 受 </w:t>
      </w:r>
      <w:r>
        <w:rPr>
          <w:rFonts w:ascii="仿宋_GB2312" w:hAnsi="仿宋_GB2312" w:cs="仿宋_GB2312" w:eastAsia="仿宋_GB2312"/>
        </w:rPr>
        <w:t>清水河县林业和草原局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清水河县三个森林公园总体规划编制服务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清水河县三个森林公园总体规划编制服务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150124-NMGKR-CS-20250001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清政采计划[2025]00024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总体规划编制服务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1、特定资格条件：供应商须具备林业调查规划设计丙级及以上资质证书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内蒙古坤如工程管理有限公司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内蒙古自治区呼和浩特市赛罕区巨海商厦805A</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武霞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13947179559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清水河县林业和草原局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清水河县城关镇永安西街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王云生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15849361977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清水河县林业和草原局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内蒙古坤如工程管理有限公司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编制《内蒙古清水河县摇林沟自治区森林公园总体规划》、《内蒙古清水河县鹰嘴山自治区森林公园总体规划》、《内蒙古清水河县青龙洞山自治区森林公园总体规划》。</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自合同签订之日起2025年10月31日日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满足采购人要求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1、项目完成服务一审后，达到付款条件起15日，支付合同总金额的40.00%</w:t>
            </w:r>
          </w:p>
          <w:p>
            <w:pPr>
              <w:pStyle w:val="null5"/>
              <w:jc w:val="left"/>
            </w:pPr>
            <w:r>
              <w:rPr>
                <w:rFonts w:ascii="仿宋_GB2312" w:hAnsi="仿宋_GB2312" w:cs="仿宋_GB2312" w:eastAsia="仿宋_GB2312"/>
              </w:rPr>
              <w:t>2、二审后，达到付款条件起15日，支付合同总金额的30.00%</w:t>
            </w:r>
          </w:p>
          <w:p>
            <w:pPr>
              <w:pStyle w:val="null5"/>
              <w:jc w:val="left"/>
            </w:pPr>
            <w:r>
              <w:rPr>
                <w:rFonts w:ascii="仿宋_GB2312" w:hAnsi="仿宋_GB2312" w:cs="仿宋_GB2312" w:eastAsia="仿宋_GB2312"/>
              </w:rPr>
              <w:t>3、三审后，达到付款条件起15日，支付合同总金额的30.00%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标的名称：总体规划编制服务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一、</w:t>
            </w:r>
            <w:r>
              <w:rPr>
                <w:rFonts w:ascii="仿宋_GB2312" w:hAnsi="仿宋_GB2312" w:cs="仿宋_GB2312" w:eastAsia="仿宋_GB2312"/>
                <w:sz w:val="24"/>
                <w:b/>
              </w:rPr>
              <w:t>项目背景</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4"/>
              </w:rPr>
              <w:t>但随着社会经济的飞速发展，生态文明建设的不断提质，森林公园的外部环境和内部条件发生了巨大改变。首先，经历了以国家公园为主体的自然保护地体系整合优化，森林公园的经营范围发生重大改变，森林公园的发展方向与目标有待重新定位；其次，随着人民生活质量与审美的不断提高，游客对公园的森林游憩产品提出新的要求；再者，受到次生灾害的威胁，公园内部服务设施缺乏，亟待建设，使得总体规划的编写迫在眉睫。</w:t>
            </w:r>
          </w:p>
          <w:p>
            <w:pPr>
              <w:pStyle w:val="null5"/>
              <w:jc w:val="both"/>
            </w:pPr>
            <w:r>
              <w:rPr>
                <w:rFonts w:ascii="仿宋_GB2312" w:hAnsi="仿宋_GB2312" w:cs="仿宋_GB2312" w:eastAsia="仿宋_GB2312"/>
                <w:sz w:val="24"/>
                <w:b/>
              </w:rPr>
              <w:t>二、项目概况</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4"/>
              </w:rPr>
              <w:t>内蒙古清水河县摇林沟自治区森林公园位于清水河县东部韭菜庄乡境内，东至韭菜庄乡双树子村，南至原</w:t>
            </w:r>
            <w:r>
              <w:rPr>
                <w:rFonts w:ascii="仿宋_GB2312" w:hAnsi="仿宋_GB2312" w:cs="仿宋_GB2312" w:eastAsia="仿宋_GB2312"/>
                <w:sz w:val="24"/>
              </w:rPr>
              <w:t>109国道边，西至韭菜庄乡北槽碾村，北至城关镇西山沟村南。总面积5169.99公顷，功能分区为一般控制区。</w:t>
            </w:r>
          </w:p>
          <w:p>
            <w:pPr>
              <w:pStyle w:val="null5"/>
              <w:ind w:firstLine="480"/>
              <w:jc w:val="both"/>
            </w:pPr>
            <w:r>
              <w:rPr>
                <w:rFonts w:ascii="仿宋_GB2312" w:hAnsi="仿宋_GB2312" w:cs="仿宋_GB2312" w:eastAsia="仿宋_GB2312"/>
                <w:sz w:val="24"/>
              </w:rPr>
              <w:t>内蒙古鹰嘴山自治区森林公园位于清水河县东南部韭菜庄乡（原盆地青乡南）境内，东至五里坡村，西至新堡子村，南至下三道沟，北至盆底青村，总面积</w:t>
            </w:r>
            <w:r>
              <w:rPr>
                <w:rFonts w:ascii="仿宋_GB2312" w:hAnsi="仿宋_GB2312" w:cs="仿宋_GB2312" w:eastAsia="仿宋_GB2312"/>
                <w:sz w:val="24"/>
              </w:rPr>
              <w:t>885.31公顷，功能分区为一般控制区。</w:t>
            </w:r>
          </w:p>
          <w:p>
            <w:pPr>
              <w:pStyle w:val="null5"/>
              <w:ind w:firstLine="480"/>
              <w:jc w:val="both"/>
            </w:pPr>
            <w:r>
              <w:rPr>
                <w:rFonts w:ascii="仿宋_GB2312" w:hAnsi="仿宋_GB2312" w:cs="仿宋_GB2312" w:eastAsia="仿宋_GB2312"/>
                <w:sz w:val="24"/>
              </w:rPr>
              <w:t>内蒙古青龙洞山自治区森林公园位于北堡乡南部，东至后双窑子村，西至</w:t>
            </w:r>
            <w:r>
              <w:rPr>
                <w:rFonts w:ascii="仿宋_GB2312" w:hAnsi="仿宋_GB2312" w:cs="仿宋_GB2312" w:eastAsia="仿宋_GB2312"/>
                <w:sz w:val="24"/>
              </w:rPr>
              <w:t>G209国道附近，南至交泥峁村，北至前窑子村，总面积为2307.55公顷，功能分区为一般控制区。</w:t>
            </w:r>
          </w:p>
          <w:p>
            <w:pPr>
              <w:pStyle w:val="null5"/>
              <w:ind w:firstLine="480"/>
              <w:jc w:val="both"/>
            </w:pPr>
            <w:r>
              <w:rPr>
                <w:rFonts w:ascii="仿宋_GB2312" w:hAnsi="仿宋_GB2312" w:cs="仿宋_GB2312" w:eastAsia="仿宋_GB2312"/>
                <w:sz w:val="24"/>
                <w:b/>
              </w:rPr>
              <w:t>三、建设目标</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对森林公园重新进行功能分区，规划建设森林公园基础设施，包括道路交通设施，规划森林公园各景区管理服务区内各类设施。</w:t>
            </w:r>
          </w:p>
          <w:p>
            <w:pPr>
              <w:pStyle w:val="null5"/>
              <w:jc w:val="both"/>
            </w:pPr>
            <w:r>
              <w:rPr>
                <w:rFonts w:ascii="仿宋_GB2312" w:hAnsi="仿宋_GB2312" w:cs="仿宋_GB2312" w:eastAsia="仿宋_GB2312"/>
                <w:sz w:val="24"/>
                <w:b/>
              </w:rPr>
              <w:t xml:space="preserve">   四、服务要求</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1.总体要求</w:t>
            </w:r>
          </w:p>
          <w:p>
            <w:pPr>
              <w:pStyle w:val="null5"/>
              <w:ind w:firstLine="480"/>
              <w:jc w:val="both"/>
            </w:pPr>
            <w:r>
              <w:rPr>
                <w:rFonts w:ascii="仿宋_GB2312" w:hAnsi="仿宋_GB2312" w:cs="仿宋_GB2312" w:eastAsia="仿宋_GB2312"/>
                <w:sz w:val="24"/>
              </w:rPr>
              <w:t>编制内蒙古清水河县摇林沟自治区森林公园、内蒙古鹰嘴山自治区森林公园和内蒙古青龙洞山自治区森林公园总体规划，确保公园内林草地资源动态平衡、适度增长，推动森林和生态产品价值实现。</w:t>
            </w:r>
          </w:p>
          <w:p>
            <w:pPr>
              <w:pStyle w:val="null5"/>
              <w:ind w:firstLine="480"/>
              <w:jc w:val="both"/>
            </w:pPr>
            <w:r>
              <w:rPr>
                <w:rFonts w:ascii="仿宋_GB2312" w:hAnsi="仿宋_GB2312" w:cs="仿宋_GB2312" w:eastAsia="仿宋_GB2312"/>
                <w:sz w:val="24"/>
              </w:rPr>
              <w:t>2.规划成果内容规划成果内容</w:t>
            </w:r>
          </w:p>
          <w:p>
            <w:pPr>
              <w:pStyle w:val="null5"/>
              <w:ind w:firstLine="480"/>
              <w:jc w:val="both"/>
            </w:pPr>
            <w:r>
              <w:rPr>
                <w:rFonts w:ascii="仿宋_GB2312" w:hAnsi="仿宋_GB2312" w:cs="仿宋_GB2312" w:eastAsia="仿宋_GB2312"/>
                <w:sz w:val="24"/>
              </w:rPr>
              <w:t>要求编制团队熟悉本地区域，了解实际情况，规划具有科学性、前瞻性、专业性、针对性、可行性。规划编制主要内容是梳理森林公园旅游资源、发展历程，分析发展形势，梳理优势和短板，明确发展总体思路和路径，制定发展目标和指标体系。重点围绕构建旅游业发展布局、制定生态保护修复和产业发展重点任务和重点工程，健全现代旅游产业经营体系等方面分析发展策略、发展路径、重点工作、重点项目等内容；并提出森林公园发展涉及的组织保障、制度体系、基础设施、科技支撑、环境保护等保障措施。具体成果要求是：</w:t>
            </w:r>
          </w:p>
          <w:p>
            <w:pPr>
              <w:pStyle w:val="null5"/>
              <w:ind w:firstLine="480"/>
              <w:jc w:val="both"/>
            </w:pPr>
            <w:r>
              <w:rPr>
                <w:rFonts w:ascii="仿宋_GB2312" w:hAnsi="仿宋_GB2312" w:cs="仿宋_GB2312" w:eastAsia="仿宋_GB2312"/>
                <w:sz w:val="24"/>
              </w:rPr>
              <w:t>1）森林公园森林资源现状分析、旅游资源现状分析、发展现状、以及森林公园发展的优势与劣势分析；</w:t>
            </w:r>
          </w:p>
          <w:p>
            <w:pPr>
              <w:pStyle w:val="null5"/>
              <w:ind w:firstLine="480"/>
              <w:jc w:val="both"/>
            </w:pPr>
            <w:r>
              <w:rPr>
                <w:rFonts w:ascii="仿宋_GB2312" w:hAnsi="仿宋_GB2312" w:cs="仿宋_GB2312" w:eastAsia="仿宋_GB2312"/>
                <w:sz w:val="24"/>
              </w:rPr>
              <w:t>2）森林公园总体发展思路、规划年限、发展目标；</w:t>
            </w:r>
          </w:p>
          <w:p>
            <w:pPr>
              <w:pStyle w:val="null5"/>
              <w:ind w:firstLine="480"/>
              <w:jc w:val="both"/>
            </w:pPr>
            <w:r>
              <w:rPr>
                <w:rFonts w:ascii="仿宋_GB2312" w:hAnsi="仿宋_GB2312" w:cs="仿宋_GB2312" w:eastAsia="仿宋_GB2312"/>
                <w:sz w:val="24"/>
              </w:rPr>
              <w:t>3）森林公园总体发展布局规划，包括林地利用范围、发展模式、发展方向、区域布局、 森林可持续经营方向等。其中森林可持续经营方向，根据对现状的调查评估结果，分析各区域森林的经营方向，拟定建设项目，提出有建设性的发展意见及具体措施；</w:t>
            </w:r>
          </w:p>
          <w:p>
            <w:pPr>
              <w:pStyle w:val="null5"/>
              <w:ind w:firstLine="480"/>
              <w:jc w:val="both"/>
            </w:pPr>
            <w:r>
              <w:rPr>
                <w:rFonts w:ascii="仿宋_GB2312" w:hAnsi="仿宋_GB2312" w:cs="仿宋_GB2312" w:eastAsia="仿宋_GB2312"/>
                <w:sz w:val="24"/>
              </w:rPr>
              <w:t>4）森林公园发展主要任务规划，包括国土绿化与生态保护修复、自然保护地体系、现代化林业产业体系、生态文化体系、现代化治理体系等体系建设；</w:t>
            </w:r>
          </w:p>
          <w:p>
            <w:pPr>
              <w:pStyle w:val="null5"/>
              <w:ind w:firstLine="480"/>
              <w:jc w:val="both"/>
            </w:pPr>
            <w:r>
              <w:rPr>
                <w:rFonts w:ascii="仿宋_GB2312" w:hAnsi="仿宋_GB2312" w:cs="仿宋_GB2312" w:eastAsia="仿宋_GB2312"/>
                <w:sz w:val="24"/>
              </w:rPr>
              <w:t>5）森林公园林业发展重点工程规划，包括森林提质增效、生态保护修复、林业产业富民、碳汇价值实现、人文林业培育等重点工程；</w:t>
            </w:r>
          </w:p>
          <w:p>
            <w:pPr>
              <w:pStyle w:val="null5"/>
              <w:ind w:firstLine="480"/>
              <w:jc w:val="both"/>
            </w:pPr>
            <w:r>
              <w:rPr>
                <w:rFonts w:ascii="仿宋_GB2312" w:hAnsi="仿宋_GB2312" w:cs="仿宋_GB2312" w:eastAsia="仿宋_GB2312"/>
                <w:sz w:val="24"/>
              </w:rPr>
              <w:t>6）森林公园发展规划组织实施机制、政策制度体系、基础设施建设、科技支撑体系 、生态环境保护等保障措施研究。</w:t>
            </w:r>
          </w:p>
          <w:p>
            <w:pPr>
              <w:pStyle w:val="null5"/>
              <w:ind w:firstLine="480"/>
              <w:jc w:val="both"/>
            </w:pPr>
            <w:r>
              <w:rPr>
                <w:rFonts w:ascii="仿宋_GB2312" w:hAnsi="仿宋_GB2312" w:cs="仿宋_GB2312" w:eastAsia="仿宋_GB2312"/>
                <w:sz w:val="24"/>
                <w:b/>
              </w:rPr>
              <w:t>五、成果要求形式</w:t>
            </w:r>
          </w:p>
          <w:p>
            <w:pPr>
              <w:pStyle w:val="null5"/>
              <w:ind w:firstLine="480"/>
              <w:jc w:val="both"/>
            </w:pPr>
            <w:r>
              <w:rPr>
                <w:rFonts w:ascii="仿宋_GB2312" w:hAnsi="仿宋_GB2312" w:cs="仿宋_GB2312" w:eastAsia="仿宋_GB2312"/>
                <w:sz w:val="24"/>
              </w:rPr>
              <w:t>1.提供森林公园总体规划文本及图册纸质成果三套及电子文件一份，并符合相关法律规定和技术规范要求。</w:t>
            </w:r>
          </w:p>
          <w:p>
            <w:pPr>
              <w:pStyle w:val="null5"/>
              <w:ind w:firstLine="480"/>
              <w:jc w:val="both"/>
            </w:pPr>
            <w:r>
              <w:rPr>
                <w:rFonts w:ascii="仿宋_GB2312" w:hAnsi="仿宋_GB2312" w:cs="仿宋_GB2312" w:eastAsia="仿宋_GB2312"/>
                <w:sz w:val="24"/>
              </w:rPr>
              <w:t>2.满足上级林业行业有关规定及规范要求。</w:t>
            </w:r>
          </w:p>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审查供应商2023年度审计报告或近一年内由基本开户银行出具的资信证明或具有良好的商业信誉和健全的财务会计制度的承诺书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1.提供递交响应文件截止之日前一年内(至少一个月)的良好缴纳税收的相关凭据或有依法缴纳税收和社会保障资金的良好记录。(以税务机关提供的纳税凭据或银行入账单为准)； 2.提供递交响应文件截止之日前一年内(至少一个月)缴纳社会保险的凭证或有依法缴纳税收和社会保障资金的良好记录。(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w:t>
            </w:r>
          </w:p>
        </w:tc>
        <w:tc>
          <w:tcPr>
            <w:tcW w:type="dxa" w:w="4984"/>
          </w:tcPr>
          <w:p>
            <w:pPr>
              <w:pStyle w:val="null5"/>
              <w:jc w:val="left"/>
            </w:pPr>
            <w:r>
              <w:rPr>
                <w:rFonts w:ascii="仿宋_GB2312" w:hAnsi="仿宋_GB2312" w:cs="仿宋_GB2312" w:eastAsia="仿宋_GB2312"/>
              </w:rPr>
              <w:t>供应商须具备林业调查规划设计丙级及以上资质证书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技术部分66.00分</w:t>
            </w:r>
          </w:p>
          <w:p>
            <w:pPr>
              <w:pStyle w:val="null5"/>
              <w:jc w:val="left"/>
            </w:pPr>
            <w:r>
              <w:rPr>
                <w:rFonts w:ascii="仿宋_GB2312" w:hAnsi="仿宋_GB2312" w:cs="仿宋_GB2312" w:eastAsia="仿宋_GB2312"/>
              </w:rPr>
              <w:t>商务部分24.00分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对项目背景及需求的解读与分析</w:t>
            </w:r>
          </w:p>
        </w:tc>
        <w:tc>
          <w:tcPr>
            <w:tcW w:type="dxa" w:w="3115"/>
          </w:tcPr>
          <w:p>
            <w:pPr>
              <w:pStyle w:val="null5"/>
              <w:jc w:val="left"/>
            </w:pPr>
            <w:r>
              <w:rPr>
                <w:rFonts w:ascii="仿宋_GB2312" w:hAnsi="仿宋_GB2312" w:cs="仿宋_GB2312" w:eastAsia="仿宋_GB2312"/>
              </w:rPr>
              <w:t>①供应商对项目背景及需求的解读与分析全面，合理性、科学性、针对性 高的得10分； ②解读与分析合理性、科学性、针对性较高的得7分； ③解 读与分析合理性、科学性、针对性一般的得4分； ④解读与分析合理性、科学性、针对性较弱的得1分； ⑤未提供不得分。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咨询服务方案</w:t>
            </w:r>
          </w:p>
        </w:tc>
        <w:tc>
          <w:tcPr>
            <w:tcW w:type="dxa" w:w="3115"/>
          </w:tcPr>
          <w:p>
            <w:pPr>
              <w:pStyle w:val="null5"/>
              <w:jc w:val="left"/>
            </w:pPr>
            <w:r>
              <w:rPr>
                <w:rFonts w:ascii="仿宋_GB2312" w:hAnsi="仿宋_GB2312" w:cs="仿宋_GB2312" w:eastAsia="仿宋_GB2312"/>
              </w:rPr>
              <w:t>①规划指导思想、规划原则、规划依据等清晰，符合国家相关要求和项目 特点，咨询服务方案对总体布局与湿地保护、湿地恢复、科普宣教、科研 监测、合理利用、防御灾害、保护管理、基础工程等提供比较科学合理的 方案，且方案内容全面、合理、可行的，且针对性强，针对本咨询服务各 节点分析准确、重点突出的，得20分； ②方案内容较全面、基本可行，且 针对性较强，能够清晰指出本项目关键点、重点难点并有较可行的措施方 案的得15分； ③方案内容合理、可行的，针对本咨询服务各节点分析较合 理，但服务方案内容不全面，有细微缺陷的得10分； ④有细微缺陷的得5 分； ⑤未提供不得分。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重点难点控制措施</w:t>
            </w:r>
          </w:p>
        </w:tc>
        <w:tc>
          <w:tcPr>
            <w:tcW w:type="dxa" w:w="3115"/>
          </w:tcPr>
          <w:p>
            <w:pPr>
              <w:pStyle w:val="null5"/>
              <w:jc w:val="left"/>
            </w:pPr>
            <w:r>
              <w:rPr>
                <w:rFonts w:ascii="仿宋_GB2312" w:hAnsi="仿宋_GB2312" w:cs="仿宋_GB2312" w:eastAsia="仿宋_GB2312"/>
              </w:rPr>
              <w:t>①针对本工程特点，对关键技术、工艺有深入的阐述，有先进合理的施工 措施和可行的安全措施，解决问题的方案完整、经济、安全、切实可行，措施得力的得10分； ②对重点、难点有合理的建议，解决问题的方案经济 、安全、基本可行的得7分； ③对重点、难点的建议，解决问题的方案可行，但有缺漏项的得的4分； ④对重点、难点建议可采纳性不高，解决问题的方案有缺漏项的得1分； ⑤对重点、难点无建议，解决问题的方案不合理的不得分。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编审进度目标、控制措施</w:t>
            </w:r>
          </w:p>
        </w:tc>
        <w:tc>
          <w:tcPr>
            <w:tcW w:type="dxa" w:w="3115"/>
          </w:tcPr>
          <w:p>
            <w:pPr>
              <w:pStyle w:val="null5"/>
              <w:jc w:val="left"/>
            </w:pPr>
            <w:r>
              <w:rPr>
                <w:rFonts w:ascii="仿宋_GB2312" w:hAnsi="仿宋_GB2312" w:cs="仿宋_GB2312" w:eastAsia="仿宋_GB2312"/>
              </w:rPr>
              <w:t>①工作进度计划、控制措施可行、满足要求，制定的成果质量保障措施具 体、非常透彻的得5分； ②工作进度计划较为可行、比较满足要求，制定 的成果质量保障措施比较具体、基本透彻的得3分； ③工作进度计划基本 可行、基本满足要求，制定的成果质量保障措施一般、不透彻的得1分；④无工作进度计划、控制措施的不得分。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沟通协调措施</w:t>
            </w:r>
          </w:p>
        </w:tc>
        <w:tc>
          <w:tcPr>
            <w:tcW w:type="dxa" w:w="3115"/>
          </w:tcPr>
          <w:p>
            <w:pPr>
              <w:pStyle w:val="null5"/>
              <w:jc w:val="left"/>
            </w:pPr>
            <w:r>
              <w:rPr>
                <w:rFonts w:ascii="仿宋_GB2312" w:hAnsi="仿宋_GB2312" w:cs="仿宋_GB2312" w:eastAsia="仿宋_GB2312"/>
              </w:rPr>
              <w:t>①供应商提供的沟通协调措施合理、及时、可实行性强的得6分； ②沟通 协调措施较合理、可实行性较好的得4分； ③具有有效的沟通协调措施的 得2分； ④未提供的不得分。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内部审核措施</w:t>
            </w:r>
          </w:p>
        </w:tc>
        <w:tc>
          <w:tcPr>
            <w:tcW w:type="dxa" w:w="3115"/>
          </w:tcPr>
          <w:p>
            <w:pPr>
              <w:pStyle w:val="null5"/>
              <w:jc w:val="left"/>
            </w:pPr>
            <w:r>
              <w:rPr>
                <w:rFonts w:ascii="仿宋_GB2312" w:hAnsi="仿宋_GB2312" w:cs="仿宋_GB2312" w:eastAsia="仿宋_GB2312"/>
              </w:rPr>
              <w:t>①有详细有效的质量管理制度和内部审核制度，具有健全的出错率控制措 施，能提出明确的出错率控制承诺及出错考核惩罚承诺，且出错率最低的 得5分； ②有有效的内部审核制度，控制措施较完善，承诺的出错率较低 的3分； ③提供质量管理制度、内部审核制度的得得1分； ④未提供的不 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①有健全有效的保密管理制度、档案管理制度、操作规范的得5分； ②较 完整、较详细的得3分； ③措施有缺陷的得1分； ④无管理制度的不得分。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①根据采购需求，提供服务承诺（包括服务承诺及具体措施等）全面，措施全面、切实可行的得5分； ② 服务承诺较全面，措施较全面、较切实可行的 得3分； ③服务承诺一般，措施不全面，可行性一般的得1分； ④未提供 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供应商近3年(2022年1月1日至递交投标文件截止时间)完成的类似规划业绩，每提供 1份得3分，最多得15分。注:时间以中标(成交)通知书或合同签订时间头准，需提供中标(成交)通知书或公同扫描件。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1、本项目负责人具有林业相关专业高级工程师（含副高级）的，得3分;具有林业相关专业中级职称证书的得1 分; 2、拟派其他人员中(除项目负责人)具有林业相关专业中级职称证书每有1人加2分，本项最高加6分。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