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窑沟乡不灿洼村文化活动室场所项目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清水河县窑沟乡人民政府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内蒙古国盛诚安建设管理发展有限责任公司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150124-NMGGSCA-CS-20250001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内蒙古国盛诚安建设管理发展有限责任公司</w:t>
      </w:r>
      <w:r>
        <w:rPr>
          <w:rFonts w:ascii="仿宋_GB2312" w:hAnsi="仿宋_GB2312" w:cs="仿宋_GB2312" w:eastAsia="仿宋_GB2312"/>
        </w:rPr>
        <w:t xml:space="preserve"> 受 </w:t>
      </w:r>
      <w:r>
        <w:rPr>
          <w:rFonts w:ascii="仿宋_GB2312" w:hAnsi="仿宋_GB2312" w:cs="仿宋_GB2312" w:eastAsia="仿宋_GB2312"/>
        </w:rPr>
        <w:t>清水河县窑沟乡人民政府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窑沟乡不灿洼村文化活动室场所项目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窑沟乡不灿洼村文化活动室场所项目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150124-NMGGSCA-CS-20250001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清政采计划[2025]00014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窑沟乡不灿洼村文化活动室场所项目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1、企业资质：须具有建设行政主管部门颁发的有效期内[建筑工程施工总承包三级]（含）以上资质证书；且具有有效的安全生产许可证；</w:t>
      </w:r>
    </w:p>
    <w:p>
      <w:pPr>
        <w:pStyle w:val="null5"/>
        <w:jc w:val="left"/>
      </w:pPr>
      <w:r>
        <w:rPr>
          <w:rFonts w:ascii="仿宋_GB2312" w:hAnsi="仿宋_GB2312" w:cs="仿宋_GB2312" w:eastAsia="仿宋_GB2312"/>
        </w:rPr>
        <w:t>2、项目负责人：须具有本企业注册的[建筑工程贰级]及以上注册建造师证书并具有有效的安全生产考核合格证书。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内蒙古国盛诚安建设管理发展有限责任公司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呼和浩特市新城区兴泰大厦11楼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赵计龙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0471-5615150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清水河县窑沟乡人民政府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清水河县窑沟乡大沙湾村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贺云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13674783929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代理服务费收费标准：参考内工建协【2022】34号文件计取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清水河县窑沟乡人民政府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内蒙古国盛诚安建设管理发展有限责任公司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窑沟乡不灿洼村文化活动室场所项目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合同签订起30天内完工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窑沟乡不灿洼村</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1、合同中约定，达到付款条件起30日，支付合同总金额的100.00%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标的名称：窑沟乡不灿洼村文化活动室场所项目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审查竞标人连续3个月（2024年至今任意连续3个月）依法缴纳税收和社会保障资金的证明 资料。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审查竞标人出具的“具有履行合同所必需的设备和专业技术能力”的声明函。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企业资质</w:t>
            </w:r>
          </w:p>
        </w:tc>
        <w:tc>
          <w:tcPr>
            <w:tcW w:type="dxa" w:w="4984"/>
          </w:tcPr>
          <w:p>
            <w:pPr>
              <w:pStyle w:val="null5"/>
              <w:jc w:val="left"/>
            </w:pPr>
            <w:r>
              <w:rPr>
                <w:rFonts w:ascii="仿宋_GB2312" w:hAnsi="仿宋_GB2312" w:cs="仿宋_GB2312" w:eastAsia="仿宋_GB2312"/>
              </w:rPr>
              <w:t>须具有建设行政主管部门颁发的有效期内[建筑工程施工总承包三级]（含）以上资质证书；且具有有效的安全生产许可证；</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须具有本企业注册的[建筑工程贰级]及以上注册建造师证书并具有有效的安全生产考核合格证书。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实施方案与技术措施 (8.0分)</w:t>
            </w:r>
          </w:p>
        </w:tc>
        <w:tc>
          <w:tcPr>
            <w:tcW w:type="dxa" w:w="3115"/>
          </w:tcPr>
          <w:p>
            <w:pPr>
              <w:pStyle w:val="null5"/>
              <w:jc w:val="left"/>
            </w:pPr>
            <w:r>
              <w:rPr>
                <w:rFonts w:ascii="仿宋_GB2312" w:hAnsi="仿宋_GB2312" w:cs="仿宋_GB2312" w:eastAsia="仿宋_GB2312"/>
              </w:rPr>
              <w:t>对投标人提供的施工方案与技术措施（内容包括不限于：①施工准备方案②施工工艺及流程③主要技术措施④所使用的技术标准和规范）等方面进行评审；方案完整、无缺失项、阐述清晰、逻辑合理、完全符合采购需求得6-8分；方案比较完整、无缺失项、阐述比较清晰、逻辑合理、符合采购需求得（3-5分)；方案比较完整、阐述一般、逻辑一般、基本符合采购需求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 (8.0分)</w:t>
            </w:r>
          </w:p>
        </w:tc>
        <w:tc>
          <w:tcPr>
            <w:tcW w:type="dxa" w:w="3115"/>
          </w:tcPr>
          <w:p>
            <w:pPr>
              <w:pStyle w:val="null5"/>
              <w:jc w:val="left"/>
            </w:pPr>
            <w:r>
              <w:rPr>
                <w:rFonts w:ascii="仿宋_GB2312" w:hAnsi="仿宋_GB2312" w:cs="仿宋_GB2312" w:eastAsia="仿宋_GB2312"/>
              </w:rPr>
              <w:t>根据供应商提供的质量保证措施方案（包括但不限于：①质量控制目标；②质量保证体系③质量控制制度④质量管理措施）等方面进行评审：方案完整、无缺失项、阐述清晰、逻辑合理、完全符合采购需求得（6-8分）；方案比较完整、无缺失项、阐述比较清晰、逻辑合理、符合采购需求得(3-5分）；方案比较完整、阐述一般、逻辑一般、基本符合采购需求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安全保证措施及安全应急预案 ( 8.0分)</w:t>
            </w:r>
          </w:p>
        </w:tc>
        <w:tc>
          <w:tcPr>
            <w:tcW w:type="dxa" w:w="3115"/>
          </w:tcPr>
          <w:p>
            <w:pPr>
              <w:pStyle w:val="null5"/>
              <w:jc w:val="left"/>
            </w:pPr>
            <w:r>
              <w:rPr>
                <w:rFonts w:ascii="仿宋_GB2312" w:hAnsi="仿宋_GB2312" w:cs="仿宋_GB2312" w:eastAsia="仿宋_GB2312"/>
              </w:rPr>
              <w:t>根据供应商提供的安全保证措施及安全应急预案（包括但不限于：①安全管理制度②安全保证措施③安全施工措施④应急预案）等方面进行评审：方案完整、无缺失项、阐述清晰、逻辑合理、完全符合采购需求得（6-8分）；方案比较完整、无缺失项、阐述比较清晰、逻辑合理、符合采购需求得（3-5分）；方案比较完整、阐述一般、逻辑一般、基本符合采购需求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项目进度保证措施方案及资源配 备 (8.0分)</w:t>
            </w:r>
          </w:p>
        </w:tc>
        <w:tc>
          <w:tcPr>
            <w:tcW w:type="dxa" w:w="3115"/>
          </w:tcPr>
          <w:p>
            <w:pPr>
              <w:pStyle w:val="null5"/>
              <w:jc w:val="left"/>
            </w:pPr>
            <w:r>
              <w:rPr>
                <w:rFonts w:ascii="仿宋_GB2312" w:hAnsi="仿宋_GB2312" w:cs="仿宋_GB2312" w:eastAsia="仿宋_GB2312"/>
              </w:rPr>
              <w:t>根据供应商提供的项目进度保证措施方案及资源配备（包括但不限于：①计划开竣工日期和安装进度的计划②工期保证措施③拟投入本项目主要安装设备④资源配备计划和劳动力安排计划）等方面进行评审：方案完整、无缺失项、阐述清晰、逻辑合理、完全符合采购需求得（6-8分）；方案比较完整、无缺失项、阐述比较清晰、逻辑合理、符合采购需求得（3-5分）；方案比较完整、阐述一般、逻辑一般、基本符合采购需求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重点、关键和难点工程的施工方 案 (8.0分)</w:t>
            </w:r>
          </w:p>
        </w:tc>
        <w:tc>
          <w:tcPr>
            <w:tcW w:type="dxa" w:w="3115"/>
          </w:tcPr>
          <w:p>
            <w:pPr>
              <w:pStyle w:val="null5"/>
              <w:jc w:val="left"/>
            </w:pPr>
            <w:r>
              <w:rPr>
                <w:rFonts w:ascii="仿宋_GB2312" w:hAnsi="仿宋_GB2312" w:cs="仿宋_GB2312" w:eastAsia="仿宋_GB2312"/>
              </w:rPr>
              <w:t>根据供应商提供得对重点、难点和关键工程得方案，关键思路清晰、准确、完整，方案编制合理可行，对关键节点的控制措施有力、合理、可行的得（6-8分）；关键思路基本清晰、准确，计划编制基本合理，对关键节点的控制措施基本可行的得（3-5分）；关键思路准确较差，计划编制合理性较差，或对关键节点的控制措施可行性较差的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文明施工措施计划 (8.0分)</w:t>
            </w:r>
          </w:p>
        </w:tc>
        <w:tc>
          <w:tcPr>
            <w:tcW w:type="dxa" w:w="3115"/>
          </w:tcPr>
          <w:p>
            <w:pPr>
              <w:pStyle w:val="null5"/>
              <w:jc w:val="left"/>
            </w:pPr>
            <w:r>
              <w:rPr>
                <w:rFonts w:ascii="仿宋_GB2312" w:hAnsi="仿宋_GB2312" w:cs="仿宋_GB2312" w:eastAsia="仿宋_GB2312"/>
              </w:rPr>
              <w:t>根据供应商提供得文明施工措施计划内容（包括但不限于：①安全文明管理体系②安全文明施工保障措施③安全文明管理制度）等方面进行评审：内容齐全，方案及措施合理可行的得（6-8分）；内容齐全，方案及措施基本可行的（3-5分）；方案及措施有明显的缺项或缺陷或不能满足项目需要的得（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施工环保措施计划 (7.0分)</w:t>
            </w:r>
          </w:p>
        </w:tc>
        <w:tc>
          <w:tcPr>
            <w:tcW w:type="dxa" w:w="3115"/>
          </w:tcPr>
          <w:p>
            <w:pPr>
              <w:pStyle w:val="null5"/>
              <w:jc w:val="left"/>
            </w:pPr>
            <w:r>
              <w:rPr>
                <w:rFonts w:ascii="仿宋_GB2312" w:hAnsi="仿宋_GB2312" w:cs="仿宋_GB2312" w:eastAsia="仿宋_GB2312"/>
              </w:rPr>
              <w:t>根据供应商提供得施工环保措施计划方案（包括但不限于：①环境保护管理体系②污染物处理及排放符合国家及地方环境保护标准③技术及管理措施）等方面进行评审：方案完整、无缺失项、阐述清晰、逻辑合理、完全符合采购需求得（5-7分）；方案比较完整、无缺失项、阐述比较清晰、逻辑合理、符合采购需求得（3-4分）；方案比较完整、阐述一般、逻辑一般、基本符合采购需求得（1-2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服务承诺及方案 (5.0分)</w:t>
            </w:r>
          </w:p>
        </w:tc>
        <w:tc>
          <w:tcPr>
            <w:tcW w:type="dxa" w:w="3115"/>
          </w:tcPr>
          <w:p>
            <w:pPr>
              <w:pStyle w:val="null5"/>
              <w:jc w:val="left"/>
            </w:pPr>
            <w:r>
              <w:rPr>
                <w:rFonts w:ascii="仿宋_GB2312" w:hAnsi="仿宋_GB2312" w:cs="仿宋_GB2312" w:eastAsia="仿宋_GB2312"/>
              </w:rPr>
              <w:t>根据供应商提供的服务承诺及方案（包括但不限于：①质保期内的维修维护承诺②设备故障应急处理措施）等方面进行评审：方案完整、无缺失项、阐述清晰、逻辑合理、完全符合采购需求得（4-5分）；方案比较完整、无缺失项、阐述比较清晰、逻辑合理、符合采购需求得（2-3分）；方案比较完整、阐述一般、逻辑一般、基本符合采购需求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 (10.0分)</w:t>
            </w:r>
          </w:p>
        </w:tc>
        <w:tc>
          <w:tcPr>
            <w:tcW w:type="dxa" w:w="3115"/>
          </w:tcPr>
          <w:p>
            <w:pPr>
              <w:pStyle w:val="null5"/>
              <w:jc w:val="left"/>
            </w:pPr>
            <w:r>
              <w:rPr>
                <w:rFonts w:ascii="仿宋_GB2312" w:hAnsi="仿宋_GB2312" w:cs="仿宋_GB2312" w:eastAsia="仿宋_GB2312"/>
              </w:rPr>
              <w:t>1.近三年（2022年至今）承揽过类似业绩的每提供一份得2.5分，最多得10分。 注：1.须提供佐证材料成交通知书（中标通知书）或合同。 2.类似业绩是指建筑工程施工类业绩。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