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办公楼消防改造工程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清水河县财政局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内蒙古明辰管理咨询有限公司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150124-MCZX-CS-20250001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内蒙古明辰管理咨询有限公司</w:t>
      </w:r>
      <w:r>
        <w:rPr>
          <w:rFonts w:ascii="仿宋_GB2312" w:hAnsi="仿宋_GB2312" w:cs="仿宋_GB2312" w:eastAsia="仿宋_GB2312"/>
        </w:rPr>
        <w:t xml:space="preserve"> 受 </w:t>
      </w:r>
      <w:r>
        <w:rPr>
          <w:rFonts w:ascii="仿宋_GB2312" w:hAnsi="仿宋_GB2312" w:cs="仿宋_GB2312" w:eastAsia="仿宋_GB2312"/>
        </w:rPr>
        <w:t>清水河县财政局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办公楼消防改造工程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办公楼消防改造工程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150124-MCZX-CS-20250001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清政采计划[2025]00002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2,119,906.00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办公楼消防改造工程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2,119,906.00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备建设行政主管部门颁发的消防设施工程专业承包贰级及以上资质，且具有有效的安全生产许可证。2)拟派的项目经理为本企业注册的机电工程专业专业贰级建造师(含)以上资格并具有有效的安全生产考核合格证书B证，且未担任其他在建工程项目的项目经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 政府采购网--政府采购云平台”参加远程开标）。请供应商使用投标客户端严格按照磋商文件的相关要求制作和上传电子响应 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内蒙古明辰管理咨询有限公司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内蒙古自治区呼和浩特市回民区银都大厦A座11楼1103室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刘蓉、王昊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0471-3965008、18504999629、15661267868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清水河县财政局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清水河县城关镇永安东街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张鹏</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0471-7912798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代理服务费收费标准：代理服务费参照《内蒙古自治区建设工程招标代理服务收费指导意见》内工建协【2022】34号文件计取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清水河县财政局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内蒙古明辰管理咨询有限公司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清水河县财政局办公楼消防改造工程，彻底消除消防安全隐患，切实保障人民群众生命财产安全。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71"/>
              <w:gridCol w:w="1782"/>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标的提供的时间</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签订合同后45日历天</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标的提供的地点</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清水河县财政局办公楼</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付款方式</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期：支付比例30%，合同签订后</w:t>
                  </w:r>
                </w:p>
                <w:p>
                  <w:pPr>
                    <w:pStyle w:val="null5"/>
                    <w:spacing w:before="1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期：支付比例67%，项目完工且验收合格后。</w:t>
                  </w:r>
                </w:p>
                <w:p>
                  <w:pPr>
                    <w:pStyle w:val="null5"/>
                    <w:spacing w:before="1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期：支付比例3%，工程质量保证期满一年后。</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验收要求</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期：满足招标人需求，符合工程量清单要求，使其达到国家及行业标准，改造完善其使用功能。</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履约保证金</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不收取</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spacing w:before="120"/>
                    <w:jc w:val="center"/>
                  </w:pPr>
                  <w:r>
                    <w:rPr>
                      <w:rFonts w:ascii="仿宋_GB2312" w:hAnsi="仿宋_GB2312" w:cs="仿宋_GB2312" w:eastAsia="仿宋_GB2312"/>
                      <w:sz w:val="21"/>
                      <w:b/>
                      <w:color w:val="000000"/>
                    </w:rPr>
                    <w:t>其他</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spacing w:before="120"/>
                    <w:jc w:val="left"/>
                  </w:pPr>
                  <w:r>
                    <w:rPr>
                      <w:rFonts w:ascii="仿宋_GB2312" w:hAnsi="仿宋_GB2312" w:cs="仿宋_GB2312" w:eastAsia="仿宋_GB2312"/>
                      <w:sz w:val="21"/>
                      <w:color w:val="000000"/>
                    </w:rPr>
                    <w:t>/</w:t>
                  </w:r>
                </w:p>
              </w:tc>
            </w:tr>
          </w:tbl>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标的名称：办公楼消防改造工程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审查供应商2023年度经会计师事务所出具的财务审计报告或提供良好的商业信誉和健全的财务会计制度声明函。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参加政府采购依法缴纳税收和社会保障资金承诺书或提供递交投标文件截止之日前一年有依法缴纳税收和社会保障资金的良好记录内(至少一个月)的良好缴纳税收的相关凭据(以税务机关提供的纳税凭据或银行入账单为准)及递交响应文件截止之日前一年内(至少一个月)缴纳社会保险的凭证(以专用收据或社会保险缴纳清单为准)。</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备建设行政主管部门颁发的消防设施工程专业承包贰级及以上资质，且具有有效的安全生产许可证。2)拟派的项目经理为本企业注册的机电工程专业专业贰级建造师(含)以上资格并具有有效的安全生产考核合格证书B证，且未担任其他在建工程项目的项目经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w:t>
            </w:r>
          </w:p>
        </w:tc>
        <w:tc>
          <w:tcPr>
            <w:tcW w:type="dxa" w:w="3115"/>
          </w:tcPr>
          <w:p>
            <w:pPr>
              <w:pStyle w:val="null5"/>
              <w:jc w:val="left"/>
            </w:pPr>
            <w:r>
              <w:rPr>
                <w:rFonts w:ascii="仿宋_GB2312" w:hAnsi="仿宋_GB2312" w:cs="仿宋_GB2312" w:eastAsia="仿宋_GB2312"/>
              </w:rPr>
              <w:t>供应商提供的方案总体编制内容应符合本工程特点，施工技术措施完善:有针对性地提出了工程可能出现质量通病部位和处理对策:现场管理措施符合实际情况。根据以上要求从：①方案编制内容；②拟投入劳动力；③主要施工机械；④主要施工技术方法；⑤材料供应保障措施，5个方面进行评审，每有一项最多得2分，每项内容存在缺陷的最多扣1分，本项最多得10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施工进度计划与保障措施</w:t>
            </w:r>
          </w:p>
        </w:tc>
        <w:tc>
          <w:tcPr>
            <w:tcW w:type="dxa" w:w="3115"/>
          </w:tcPr>
          <w:p>
            <w:pPr>
              <w:pStyle w:val="null5"/>
              <w:jc w:val="left"/>
            </w:pPr>
            <w:r>
              <w:rPr>
                <w:rFonts w:ascii="仿宋_GB2312" w:hAnsi="仿宋_GB2312" w:cs="仿宋_GB2312" w:eastAsia="仿宋_GB2312"/>
              </w:rPr>
              <w:t>根据供应商提供的施工进度计划与保证措施，从：①施工进度计划表；②详细的进度计划；③主要工序衔接度；④进度保障措施，4个方面进行评审，每有一项最多得2分，每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施工季节、施工重点难点解决方案</w:t>
            </w:r>
          </w:p>
        </w:tc>
        <w:tc>
          <w:tcPr>
            <w:tcW w:type="dxa" w:w="3115"/>
          </w:tcPr>
          <w:p>
            <w:pPr>
              <w:pStyle w:val="null5"/>
              <w:jc w:val="left"/>
            </w:pPr>
            <w:r>
              <w:rPr>
                <w:rFonts w:ascii="仿宋_GB2312" w:hAnsi="仿宋_GB2312" w:cs="仿宋_GB2312" w:eastAsia="仿宋_GB2312"/>
              </w:rPr>
              <w:t>考量施工季节和施工重点难点，从：①工程关键点控制方案；②针对冬季施工保障措施；③重点、难点解决方案，3个方面进行评审，每有一项最多得3分，每项内容存在缺陷的最多扣2分，本项最多得9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从：①质量目标；②质量管理体系设置；③质量保证措施；④质量通病解决措施，4个方面进行评审，每有一项最多得2分，每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节能环保技术措施</w:t>
            </w:r>
          </w:p>
        </w:tc>
        <w:tc>
          <w:tcPr>
            <w:tcW w:type="dxa" w:w="3115"/>
          </w:tcPr>
          <w:p>
            <w:pPr>
              <w:pStyle w:val="null5"/>
              <w:jc w:val="left"/>
            </w:pPr>
            <w:r>
              <w:rPr>
                <w:rFonts w:ascii="仿宋_GB2312" w:hAnsi="仿宋_GB2312" w:cs="仿宋_GB2312" w:eastAsia="仿宋_GB2312"/>
              </w:rPr>
              <w:t>根据供应商提供的节能环保管理措施，从：①节材与材料资源利用；②节水与水资源利用；③节能与能源利用，3个方面进行评审，每有一项最多得2分，每项内容存在缺陷的最多扣1分，本项最多得6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应急管理保障措施</w:t>
            </w:r>
          </w:p>
        </w:tc>
        <w:tc>
          <w:tcPr>
            <w:tcW w:type="dxa" w:w="3115"/>
          </w:tcPr>
          <w:p>
            <w:pPr>
              <w:pStyle w:val="null5"/>
              <w:jc w:val="left"/>
            </w:pPr>
            <w:r>
              <w:rPr>
                <w:rFonts w:ascii="仿宋_GB2312" w:hAnsi="仿宋_GB2312" w:cs="仿宋_GB2312" w:eastAsia="仿宋_GB2312"/>
              </w:rPr>
              <w:t>根据供应商提供的应急管理保障措施，从：①突发事件应对；②应急保障措施，2个方面进行评审，每有一项最多得3分，每项内容存在缺陷的最多扣2分，本项最多得6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安全生产文明措施</w:t>
            </w:r>
          </w:p>
        </w:tc>
        <w:tc>
          <w:tcPr>
            <w:tcW w:type="dxa" w:w="3115"/>
          </w:tcPr>
          <w:p>
            <w:pPr>
              <w:pStyle w:val="null5"/>
              <w:jc w:val="left"/>
            </w:pPr>
            <w:r>
              <w:rPr>
                <w:rFonts w:ascii="仿宋_GB2312" w:hAnsi="仿宋_GB2312" w:cs="仿宋_GB2312" w:eastAsia="仿宋_GB2312"/>
              </w:rPr>
              <w:t>据供应商提供的安全生产文明措施，从：①安全生产目标；②安全管理体系；③设置安全隐患；④施工现场安全控制措施，4个方面进行评审，每有一项最多得2分，每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供应商提供近三年(2022年1月至今)完成过类似项目业绩，每提供一个得2分，满分10分。 注:提供中标通知书或施工合同扫描件，时间以合同签订为准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项目负责人提供近三年(2022年1月至今)完成过类似项目业绩，每提供一个得1分，满分2分。 注:提供中标通知书或施工合同扫描件（须体现项目负责人姓名，如未体现则需提供其他证明材料），时间以合同签订为准。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配备施工员、材料员、资料员、质量员、安全员，并提供岗位证书扫描件其中安全员提供C类安全生产考核合格证书扫描件，齐全的得3分，未提供或少提供的不得分。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