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五良太乡青豆沟村农机具购置项目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清水河县民族事务委员会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内蒙古泽城达项目管理有限公司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150124-ZCD-03-GK-20250001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内蒙古泽城达项目管理有限公司</w:t>
      </w:r>
      <w:r>
        <w:rPr>
          <w:rFonts w:ascii="仿宋_GB2312" w:hAnsi="仿宋_GB2312" w:cs="仿宋_GB2312" w:eastAsia="仿宋_GB2312"/>
        </w:rPr>
        <w:t xml:space="preserve"> 受 </w:t>
      </w:r>
      <w:r>
        <w:rPr>
          <w:rFonts w:ascii="仿宋_GB2312" w:hAnsi="仿宋_GB2312" w:cs="仿宋_GB2312" w:eastAsia="仿宋_GB2312"/>
        </w:rPr>
        <w:t>清水河县民族事务委员会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五良太乡青豆沟村农机具购置项目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五良太乡青豆沟村农机具购置项目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150124-ZCD-03-GK-20250001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清政采计划[2025]00063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1,690,000.00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五良太乡青豆沟村农机具购置项目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1,690,000.00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内蒙古泽城达项目管理有限公司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内蒙古自治区呼和浩特市新城区呼和浩特市新城区海拉尔东路兴泰东河湾南区商住综合楼A座1315</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阿丽</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18504710371</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清水河县民族事务委员会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清水河县城关镇永安东街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011600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白海燕</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13948916899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清水河县民族事务委员会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内蒙古泽城达项目管理有限公司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采购内容：五良太乡青豆沟村购置拖拉机，配套犁，玉米收割机，播种机等农机具。 采购数量：1批 主要功能或目标：提高农业生产效率：通过使用先进的农机具，可以大幅提高农业生产效率，减少人力投入，降低生产成本。 增加农民收入：通过提高农业生产效率，可以增加农产品的产量和质量，从而增加农民的收入。 需满足的要求：符合国家质量验评标准。</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自合同签订之日起至2025年12月31日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五良太乡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1、签订合同后，达到付款条件起5日，支付合同总金额的30.00%</w:t>
            </w:r>
          </w:p>
          <w:p>
            <w:pPr>
              <w:pStyle w:val="null5"/>
              <w:jc w:val="left"/>
            </w:pPr>
            <w:r>
              <w:rPr>
                <w:rFonts w:ascii="仿宋_GB2312" w:hAnsi="仿宋_GB2312" w:cs="仿宋_GB2312" w:eastAsia="仿宋_GB2312"/>
              </w:rPr>
              <w:t>2、货物到场检查合格后，达到付款条件起5日，支付合同总金额的30.00%</w:t>
            </w:r>
          </w:p>
          <w:p>
            <w:pPr>
              <w:pStyle w:val="null5"/>
              <w:jc w:val="left"/>
            </w:pPr>
            <w:r>
              <w:rPr>
                <w:rFonts w:ascii="仿宋_GB2312" w:hAnsi="仿宋_GB2312" w:cs="仿宋_GB2312" w:eastAsia="仿宋_GB2312"/>
              </w:rPr>
              <w:t>3、货物验收合格，达到付款条件起5日，支付合同总金额的40.00%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标的名称：五良太乡青豆沟村农机具购置项目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拖拉机</w:t>
            </w:r>
          </w:p>
          <w:p>
            <w:pPr>
              <w:pStyle w:val="null5"/>
              <w:jc w:val="both"/>
            </w:pPr>
            <w:r>
              <w:rPr>
                <w:rFonts w:ascii="仿宋_GB2312" w:hAnsi="仿宋_GB2312" w:cs="仿宋_GB2312" w:eastAsia="仿宋_GB2312"/>
                <w:sz w:val="21"/>
              </w:rPr>
              <w:t>发动机标定功率（千瓦</w:t>
            </w:r>
            <w:r>
              <w:rPr>
                <w:rFonts w:ascii="仿宋_GB2312" w:hAnsi="仿宋_GB2312" w:cs="仿宋_GB2312" w:eastAsia="仿宋_GB2312"/>
                <w:sz w:val="21"/>
              </w:rPr>
              <w:t>/</w:t>
            </w:r>
            <w:r>
              <w:rPr>
                <w:rFonts w:ascii="仿宋_GB2312" w:hAnsi="仿宋_GB2312" w:cs="仿宋_GB2312" w:eastAsia="仿宋_GB2312"/>
                <w:sz w:val="21"/>
              </w:rPr>
              <w:t>马力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155/210</w:t>
            </w:r>
          </w:p>
          <w:p>
            <w:pPr>
              <w:pStyle w:val="null5"/>
              <w:jc w:val="both"/>
            </w:pPr>
            <w:r>
              <w:rPr>
                <w:rFonts w:ascii="仿宋_GB2312" w:hAnsi="仿宋_GB2312" w:cs="仿宋_GB2312" w:eastAsia="仿宋_GB2312"/>
                <w:sz w:val="21"/>
              </w:rPr>
              <w:t>发动机额定净功率（千瓦</w:t>
            </w:r>
            <w:r>
              <w:rPr>
                <w:rFonts w:ascii="仿宋_GB2312" w:hAnsi="仿宋_GB2312" w:cs="仿宋_GB2312" w:eastAsia="仿宋_GB2312"/>
                <w:sz w:val="21"/>
              </w:rPr>
              <w:t>/</w:t>
            </w:r>
            <w:r>
              <w:rPr>
                <w:rFonts w:ascii="仿宋_GB2312" w:hAnsi="仿宋_GB2312" w:cs="仿宋_GB2312" w:eastAsia="仿宋_GB2312"/>
                <w:sz w:val="21"/>
              </w:rPr>
              <w:t>马力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162/220</w:t>
            </w:r>
          </w:p>
          <w:p>
            <w:pPr>
              <w:pStyle w:val="null5"/>
              <w:jc w:val="both"/>
            </w:pPr>
            <w:r>
              <w:rPr>
                <w:rFonts w:ascii="仿宋_GB2312" w:hAnsi="仿宋_GB2312" w:cs="仿宋_GB2312" w:eastAsia="仿宋_GB2312"/>
                <w:sz w:val="21"/>
              </w:rPr>
              <w:t>发动机额定转速</w:t>
            </w:r>
            <w:r>
              <w:rPr>
                <w:rFonts w:ascii="仿宋_GB2312" w:hAnsi="仿宋_GB2312" w:cs="仿宋_GB2312" w:eastAsia="仿宋_GB2312"/>
                <w:sz w:val="21"/>
              </w:rPr>
              <w:t>：</w:t>
            </w:r>
            <w:r>
              <w:rPr>
                <w:rFonts w:ascii="仿宋_GB2312" w:hAnsi="仿宋_GB2312" w:cs="仿宋_GB2312" w:eastAsia="仿宋_GB2312"/>
                <w:sz w:val="21"/>
              </w:rPr>
              <w:t>2100</w:t>
            </w:r>
          </w:p>
          <w:p>
            <w:pPr>
              <w:pStyle w:val="null5"/>
              <w:jc w:val="both"/>
            </w:pPr>
            <w:r>
              <w:rPr>
                <w:rFonts w:ascii="仿宋_GB2312" w:hAnsi="仿宋_GB2312" w:cs="仿宋_GB2312" w:eastAsia="仿宋_GB2312"/>
                <w:sz w:val="21"/>
              </w:rPr>
              <w:t>燃油系统</w:t>
            </w:r>
            <w:r>
              <w:rPr>
                <w:rFonts w:ascii="仿宋_GB2312" w:hAnsi="仿宋_GB2312" w:cs="仿宋_GB2312" w:eastAsia="仿宋_GB2312"/>
                <w:sz w:val="21"/>
              </w:rPr>
              <w:t>：</w:t>
            </w:r>
            <w:r>
              <w:rPr>
                <w:rFonts w:ascii="仿宋_GB2312" w:hAnsi="仿宋_GB2312" w:cs="仿宋_GB2312" w:eastAsia="仿宋_GB2312"/>
                <w:sz w:val="21"/>
              </w:rPr>
              <w:t>高压共轨</w:t>
            </w:r>
          </w:p>
          <w:p>
            <w:pPr>
              <w:pStyle w:val="null5"/>
              <w:jc w:val="both"/>
            </w:pPr>
            <w:r>
              <w:rPr>
                <w:rFonts w:ascii="仿宋_GB2312" w:hAnsi="仿宋_GB2312" w:cs="仿宋_GB2312" w:eastAsia="仿宋_GB2312"/>
                <w:sz w:val="21"/>
              </w:rPr>
              <w:t>变速箱</w:t>
            </w:r>
            <w:r>
              <w:rPr>
                <w:rFonts w:ascii="仿宋_GB2312" w:hAnsi="仿宋_GB2312" w:cs="仿宋_GB2312" w:eastAsia="仿宋_GB2312"/>
                <w:sz w:val="21"/>
              </w:rPr>
              <w:t>(</w:t>
            </w:r>
            <w:r>
              <w:rPr>
                <w:rFonts w:ascii="仿宋_GB2312" w:hAnsi="仿宋_GB2312" w:cs="仿宋_GB2312" w:eastAsia="仿宋_GB2312"/>
                <w:sz w:val="21"/>
              </w:rPr>
              <w:t>最大速度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PowrQuad PLUS 20/20 - 40K</w:t>
            </w:r>
          </w:p>
          <w:p>
            <w:pPr>
              <w:pStyle w:val="null5"/>
              <w:jc w:val="both"/>
            </w:pPr>
            <w:r>
              <w:rPr>
                <w:rFonts w:ascii="仿宋_GB2312" w:hAnsi="仿宋_GB2312" w:cs="仿宋_GB2312" w:eastAsia="仿宋_GB2312"/>
                <w:sz w:val="21"/>
              </w:rPr>
              <w:t>动力输出轴转速（转</w:t>
            </w:r>
            <w:r>
              <w:rPr>
                <w:rFonts w:ascii="仿宋_GB2312" w:hAnsi="仿宋_GB2312" w:cs="仿宋_GB2312" w:eastAsia="仿宋_GB2312"/>
                <w:sz w:val="21"/>
              </w:rPr>
              <w:t>/</w:t>
            </w:r>
            <w:r>
              <w:rPr>
                <w:rFonts w:ascii="仿宋_GB2312" w:hAnsi="仿宋_GB2312" w:cs="仿宋_GB2312" w:eastAsia="仿宋_GB2312"/>
                <w:sz w:val="21"/>
              </w:rPr>
              <w:t>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540/1000</w:t>
            </w:r>
          </w:p>
          <w:p>
            <w:pPr>
              <w:pStyle w:val="null5"/>
              <w:jc w:val="both"/>
            </w:pPr>
            <w:r>
              <w:rPr>
                <w:rFonts w:ascii="仿宋_GB2312" w:hAnsi="仿宋_GB2312" w:cs="仿宋_GB2312" w:eastAsia="仿宋_GB2312"/>
                <w:sz w:val="21"/>
              </w:rPr>
              <w:t>动力输出轴功率（千瓦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131.8</w:t>
            </w:r>
          </w:p>
          <w:p>
            <w:pPr>
              <w:pStyle w:val="null5"/>
              <w:jc w:val="both"/>
            </w:pPr>
            <w:r>
              <w:rPr>
                <w:rFonts w:ascii="仿宋_GB2312" w:hAnsi="仿宋_GB2312" w:cs="仿宋_GB2312" w:eastAsia="仿宋_GB2312"/>
                <w:sz w:val="21"/>
              </w:rPr>
              <w:t>液压输出阀组数</w:t>
            </w:r>
            <w:r>
              <w:rPr>
                <w:rFonts w:ascii="仿宋_GB2312" w:hAnsi="仿宋_GB2312" w:cs="仿宋_GB2312" w:eastAsia="仿宋_GB2312"/>
                <w:sz w:val="21"/>
              </w:rPr>
              <w:t>：</w:t>
            </w:r>
            <w:r>
              <w:rPr>
                <w:rFonts w:ascii="仿宋_GB2312" w:hAnsi="仿宋_GB2312" w:cs="仿宋_GB2312" w:eastAsia="仿宋_GB2312"/>
                <w:sz w:val="21"/>
              </w:rPr>
              <w:t>3</w:t>
            </w:r>
          </w:p>
          <w:p>
            <w:pPr>
              <w:pStyle w:val="null5"/>
              <w:jc w:val="both"/>
            </w:pPr>
            <w:r>
              <w:rPr>
                <w:rFonts w:ascii="仿宋_GB2312" w:hAnsi="仿宋_GB2312" w:cs="仿宋_GB2312" w:eastAsia="仿宋_GB2312"/>
                <w:sz w:val="21"/>
              </w:rPr>
              <w:t>最大提升力（千克）</w:t>
            </w:r>
            <w:r>
              <w:rPr>
                <w:rFonts w:ascii="仿宋_GB2312" w:hAnsi="仿宋_GB2312" w:cs="仿宋_GB2312" w:eastAsia="仿宋_GB2312"/>
                <w:sz w:val="21"/>
              </w:rPr>
              <w:t>：</w:t>
            </w:r>
            <w:r>
              <w:rPr>
                <w:rFonts w:ascii="仿宋_GB2312" w:hAnsi="仿宋_GB2312" w:cs="仿宋_GB2312" w:eastAsia="仿宋_GB2312"/>
                <w:sz w:val="21"/>
              </w:rPr>
              <w:t>4600</w:t>
            </w:r>
          </w:p>
          <w:p>
            <w:pPr>
              <w:pStyle w:val="null5"/>
              <w:jc w:val="both"/>
            </w:pPr>
            <w:r>
              <w:rPr>
                <w:rFonts w:ascii="仿宋_GB2312" w:hAnsi="仿宋_GB2312" w:cs="仿宋_GB2312" w:eastAsia="仿宋_GB2312"/>
                <w:sz w:val="21"/>
              </w:rPr>
              <w:t>耕深调节方式</w:t>
            </w:r>
            <w:r>
              <w:rPr>
                <w:rFonts w:ascii="仿宋_GB2312" w:hAnsi="仿宋_GB2312" w:cs="仿宋_GB2312" w:eastAsia="仿宋_GB2312"/>
                <w:sz w:val="21"/>
              </w:rPr>
              <w:t>：</w:t>
            </w:r>
            <w:r>
              <w:rPr>
                <w:rFonts w:ascii="仿宋_GB2312" w:hAnsi="仿宋_GB2312" w:cs="仿宋_GB2312" w:eastAsia="仿宋_GB2312"/>
                <w:sz w:val="21"/>
              </w:rPr>
              <w:t>力调节、位调节、浮动调节</w:t>
            </w:r>
          </w:p>
          <w:p>
            <w:pPr>
              <w:pStyle w:val="null5"/>
              <w:jc w:val="both"/>
            </w:pPr>
            <w:r>
              <w:rPr>
                <w:rFonts w:ascii="仿宋_GB2312" w:hAnsi="仿宋_GB2312" w:cs="仿宋_GB2312" w:eastAsia="仿宋_GB2312"/>
                <w:sz w:val="21"/>
              </w:rPr>
              <w:t>空调</w:t>
            </w:r>
            <w:r>
              <w:rPr>
                <w:rFonts w:ascii="仿宋_GB2312" w:hAnsi="仿宋_GB2312" w:cs="仿宋_GB2312" w:eastAsia="仿宋_GB2312"/>
                <w:sz w:val="21"/>
              </w:rPr>
              <w:t>：</w:t>
            </w:r>
            <w:r>
              <w:rPr>
                <w:rFonts w:ascii="仿宋_GB2312" w:hAnsi="仿宋_GB2312" w:cs="仿宋_GB2312" w:eastAsia="仿宋_GB2312"/>
                <w:sz w:val="21"/>
              </w:rPr>
              <w:t>标配冷暖空调</w:t>
            </w:r>
          </w:p>
          <w:p>
            <w:pPr>
              <w:pStyle w:val="null5"/>
              <w:jc w:val="both"/>
            </w:pP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犁</w:t>
            </w:r>
          </w:p>
          <w:p>
            <w:pPr>
              <w:pStyle w:val="null5"/>
              <w:jc w:val="both"/>
            </w:pPr>
            <w:r>
              <w:rPr>
                <w:rFonts w:ascii="仿宋_GB2312" w:hAnsi="仿宋_GB2312" w:cs="仿宋_GB2312" w:eastAsia="仿宋_GB2312"/>
                <w:sz w:val="21"/>
              </w:rPr>
              <w:t>铧数</w:t>
            </w: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铧）</w:t>
            </w:r>
            <w:r>
              <w:rPr>
                <w:rFonts w:ascii="仿宋_GB2312" w:hAnsi="仿宋_GB2312" w:cs="仿宋_GB2312" w:eastAsia="仿宋_GB2312"/>
                <w:sz w:val="21"/>
              </w:rPr>
              <w:t xml:space="preserve">   </w:t>
            </w:r>
          </w:p>
          <w:p>
            <w:pPr>
              <w:pStyle w:val="null5"/>
              <w:jc w:val="both"/>
            </w:pPr>
            <w:r>
              <w:rPr>
                <w:rFonts w:ascii="仿宋_GB2312" w:hAnsi="仿宋_GB2312" w:cs="仿宋_GB2312" w:eastAsia="仿宋_GB2312"/>
                <w:sz w:val="21"/>
              </w:rPr>
              <w:t>配</w:t>
            </w:r>
            <w:r>
              <w:rPr>
                <w:rFonts w:ascii="仿宋_GB2312" w:hAnsi="仿宋_GB2312" w:cs="仿宋_GB2312" w:eastAsia="仿宋_GB2312"/>
                <w:sz w:val="21"/>
              </w:rPr>
              <w:t>套</w:t>
            </w:r>
            <w:r>
              <w:rPr>
                <w:rFonts w:ascii="仿宋_GB2312" w:hAnsi="仿宋_GB2312" w:cs="仿宋_GB2312" w:eastAsia="仿宋_GB2312"/>
                <w:sz w:val="21"/>
              </w:rPr>
              <w:t>动</w:t>
            </w:r>
            <w:r>
              <w:rPr>
                <w:rFonts w:ascii="仿宋_GB2312" w:hAnsi="仿宋_GB2312" w:cs="仿宋_GB2312" w:eastAsia="仿宋_GB2312"/>
                <w:sz w:val="21"/>
              </w:rPr>
              <w:t>力</w:t>
            </w:r>
            <w:r>
              <w:rPr>
                <w:rFonts w:ascii="仿宋_GB2312" w:hAnsi="仿宋_GB2312" w:cs="仿宋_GB2312" w:eastAsia="仿宋_GB2312"/>
                <w:sz w:val="21"/>
              </w:rPr>
              <w:t xml:space="preserve"> P S</w:t>
            </w:r>
            <w:r>
              <w:rPr>
                <w:rFonts w:ascii="仿宋_GB2312" w:hAnsi="仿宋_GB2312" w:cs="仿宋_GB2312" w:eastAsia="仿宋_GB2312"/>
                <w:sz w:val="21"/>
              </w:rPr>
              <w:t>：</w:t>
            </w:r>
            <w:r>
              <w:rPr>
                <w:rFonts w:ascii="仿宋_GB2312" w:hAnsi="仿宋_GB2312" w:cs="仿宋_GB2312" w:eastAsia="仿宋_GB2312"/>
                <w:sz w:val="21"/>
              </w:rPr>
              <w:t>210-240</w:t>
            </w:r>
          </w:p>
          <w:p>
            <w:pPr>
              <w:pStyle w:val="null5"/>
              <w:jc w:val="both"/>
            </w:pPr>
            <w:r>
              <w:rPr>
                <w:rFonts w:ascii="仿宋_GB2312" w:hAnsi="仿宋_GB2312" w:cs="仿宋_GB2312" w:eastAsia="仿宋_GB2312"/>
                <w:sz w:val="21"/>
              </w:rPr>
              <w:t>犁梁规格</w:t>
            </w:r>
            <w:r>
              <w:rPr>
                <w:rFonts w:ascii="仿宋_GB2312" w:hAnsi="仿宋_GB2312" w:cs="仿宋_GB2312" w:eastAsia="仿宋_GB2312"/>
                <w:sz w:val="21"/>
              </w:rPr>
              <w:t>：</w:t>
            </w:r>
            <w:r>
              <w:rPr>
                <w:rFonts w:ascii="仿宋_GB2312" w:hAnsi="仿宋_GB2312" w:cs="仿宋_GB2312" w:eastAsia="仿宋_GB2312"/>
                <w:sz w:val="21"/>
              </w:rPr>
              <w:t>140 x 140 x 10mm</w:t>
            </w:r>
          </w:p>
          <w:p>
            <w:pPr>
              <w:pStyle w:val="null5"/>
              <w:jc w:val="both"/>
            </w:pPr>
            <w:r>
              <w:rPr>
                <w:rFonts w:ascii="仿宋_GB2312" w:hAnsi="仿宋_GB2312" w:cs="仿宋_GB2312" w:eastAsia="仿宋_GB2312"/>
                <w:sz w:val="21"/>
              </w:rPr>
              <w:t>过载保护</w:t>
            </w:r>
            <w:r>
              <w:rPr>
                <w:rFonts w:ascii="仿宋_GB2312" w:hAnsi="仿宋_GB2312" w:cs="仿宋_GB2312" w:eastAsia="仿宋_GB2312"/>
                <w:sz w:val="21"/>
              </w:rPr>
              <w:t>：</w:t>
            </w:r>
            <w:r>
              <w:rPr>
                <w:rFonts w:ascii="仿宋_GB2312" w:hAnsi="仿宋_GB2312" w:cs="仿宋_GB2312" w:eastAsia="仿宋_GB2312"/>
                <w:sz w:val="21"/>
              </w:rPr>
              <w:t>保险螺栓</w:t>
            </w:r>
            <w:r>
              <w:rPr>
                <w:rFonts w:ascii="仿宋_GB2312" w:hAnsi="仿宋_GB2312" w:cs="仿宋_GB2312" w:eastAsia="仿宋_GB2312"/>
                <w:sz w:val="21"/>
              </w:rPr>
              <w:t>-</w:t>
            </w:r>
            <w:r>
              <w:rPr>
                <w:rFonts w:ascii="仿宋_GB2312" w:hAnsi="仿宋_GB2312" w:cs="仿宋_GB2312" w:eastAsia="仿宋_GB2312"/>
                <w:sz w:val="21"/>
              </w:rPr>
              <w:t>双剪切</w:t>
            </w:r>
          </w:p>
          <w:p>
            <w:pPr>
              <w:pStyle w:val="null5"/>
              <w:jc w:val="both"/>
            </w:pPr>
            <w:r>
              <w:rPr>
                <w:rFonts w:ascii="仿宋_GB2312" w:hAnsi="仿宋_GB2312" w:cs="仿宋_GB2312" w:eastAsia="仿宋_GB2312"/>
                <w:sz w:val="21"/>
              </w:rPr>
              <w:t>限深机构</w:t>
            </w:r>
            <w:r>
              <w:rPr>
                <w:rFonts w:ascii="仿宋_GB2312" w:hAnsi="仿宋_GB2312" w:cs="仿宋_GB2312" w:eastAsia="仿宋_GB2312"/>
                <w:sz w:val="21"/>
              </w:rPr>
              <w:t>：</w:t>
            </w:r>
            <w:r>
              <w:rPr>
                <w:rFonts w:ascii="仿宋_GB2312" w:hAnsi="仿宋_GB2312" w:cs="仿宋_GB2312" w:eastAsia="仿宋_GB2312"/>
                <w:sz w:val="21"/>
              </w:rPr>
              <w:t>限深运输一体轮</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耙</w:t>
            </w:r>
          </w:p>
          <w:p>
            <w:pPr>
              <w:pStyle w:val="null5"/>
              <w:jc w:val="both"/>
            </w:pPr>
            <w:r>
              <w:rPr>
                <w:rFonts w:ascii="仿宋_GB2312" w:hAnsi="仿宋_GB2312" w:cs="仿宋_GB2312" w:eastAsia="仿宋_GB2312"/>
                <w:sz w:val="21"/>
              </w:rPr>
              <w:t>结构型式：</w:t>
            </w:r>
            <w:r>
              <w:rPr>
                <w:rFonts w:ascii="仿宋_GB2312" w:hAnsi="仿宋_GB2312" w:cs="仿宋_GB2312" w:eastAsia="仿宋_GB2312"/>
                <w:sz w:val="21"/>
              </w:rPr>
              <w:t>立轴转齿式</w:t>
            </w:r>
          </w:p>
          <w:p>
            <w:pPr>
              <w:pStyle w:val="null5"/>
              <w:jc w:val="both"/>
            </w:pPr>
            <w:r>
              <w:rPr>
                <w:rFonts w:ascii="仿宋_GB2312" w:hAnsi="仿宋_GB2312" w:cs="仿宋_GB2312" w:eastAsia="仿宋_GB2312"/>
                <w:sz w:val="21"/>
              </w:rPr>
              <w:t>与配套拖拉机联接方式：</w:t>
            </w:r>
            <w:r>
              <w:rPr>
                <w:rFonts w:ascii="仿宋_GB2312" w:hAnsi="仿宋_GB2312" w:cs="仿宋_GB2312" w:eastAsia="仿宋_GB2312"/>
                <w:sz w:val="21"/>
              </w:rPr>
              <w:t>三点悬挂</w:t>
            </w:r>
          </w:p>
          <w:p>
            <w:pPr>
              <w:pStyle w:val="null5"/>
              <w:jc w:val="both"/>
            </w:pPr>
            <w:r>
              <w:rPr>
                <w:rFonts w:ascii="仿宋_GB2312" w:hAnsi="仿宋_GB2312" w:cs="仿宋_GB2312" w:eastAsia="仿宋_GB2312"/>
                <w:sz w:val="21"/>
              </w:rPr>
              <w:t>工作幅宽：</w:t>
            </w:r>
            <w:r>
              <w:rPr>
                <w:rFonts w:ascii="仿宋_GB2312" w:hAnsi="仿宋_GB2312" w:cs="仿宋_GB2312" w:eastAsia="仿宋_GB2312"/>
                <w:sz w:val="21"/>
              </w:rPr>
              <w:t>400cm</w:t>
            </w:r>
          </w:p>
          <w:p>
            <w:pPr>
              <w:pStyle w:val="null5"/>
              <w:jc w:val="both"/>
            </w:pPr>
            <w:r>
              <w:rPr>
                <w:rFonts w:ascii="仿宋_GB2312" w:hAnsi="仿宋_GB2312" w:cs="仿宋_GB2312" w:eastAsia="仿宋_GB2312"/>
                <w:sz w:val="21"/>
              </w:rPr>
              <w:t>耙齿间距：</w:t>
            </w:r>
            <w:r>
              <w:rPr>
                <w:rFonts w:ascii="仿宋_GB2312" w:hAnsi="仿宋_GB2312" w:cs="仿宋_GB2312" w:eastAsia="仿宋_GB2312"/>
                <w:sz w:val="21"/>
              </w:rPr>
              <w:t>24.5cm</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玉米收割机</w:t>
            </w:r>
          </w:p>
          <w:p>
            <w:pPr>
              <w:pStyle w:val="null5"/>
              <w:jc w:val="both"/>
            </w:pPr>
            <w:r>
              <w:rPr>
                <w:rFonts w:ascii="仿宋_GB2312" w:hAnsi="仿宋_GB2312" w:cs="仿宋_GB2312" w:eastAsia="仿宋_GB2312"/>
                <w:sz w:val="21"/>
              </w:rPr>
              <w:t>结构型式：</w:t>
            </w:r>
            <w:r>
              <w:rPr>
                <w:rFonts w:ascii="仿宋_GB2312" w:hAnsi="仿宋_GB2312" w:cs="仿宋_GB2312" w:eastAsia="仿宋_GB2312"/>
                <w:sz w:val="21"/>
              </w:rPr>
              <w:t>自走轮式</w:t>
            </w:r>
          </w:p>
          <w:p>
            <w:pPr>
              <w:pStyle w:val="null5"/>
              <w:jc w:val="both"/>
            </w:pPr>
            <w:r>
              <w:rPr>
                <w:rFonts w:ascii="仿宋_GB2312" w:hAnsi="仿宋_GB2312" w:cs="仿宋_GB2312" w:eastAsia="仿宋_GB2312"/>
                <w:sz w:val="21"/>
              </w:rPr>
              <w:t>功能型式：</w:t>
            </w:r>
            <w:r>
              <w:rPr>
                <w:rFonts w:ascii="仿宋_GB2312" w:hAnsi="仿宋_GB2312" w:cs="仿宋_GB2312" w:eastAsia="仿宋_GB2312"/>
                <w:sz w:val="21"/>
              </w:rPr>
              <w:t>果穗收获、剥皮</w:t>
            </w:r>
          </w:p>
          <w:p>
            <w:pPr>
              <w:pStyle w:val="null5"/>
              <w:jc w:val="both"/>
            </w:pPr>
            <w:r>
              <w:rPr>
                <w:rFonts w:ascii="仿宋_GB2312" w:hAnsi="仿宋_GB2312" w:cs="仿宋_GB2312" w:eastAsia="仿宋_GB2312"/>
                <w:sz w:val="21"/>
              </w:rPr>
              <w:t>果穗升运器结构型式：</w:t>
            </w:r>
            <w:r>
              <w:rPr>
                <w:rFonts w:ascii="仿宋_GB2312" w:hAnsi="仿宋_GB2312" w:cs="仿宋_GB2312" w:eastAsia="仿宋_GB2312"/>
                <w:sz w:val="21"/>
              </w:rPr>
              <w:t>刮板式</w:t>
            </w:r>
          </w:p>
          <w:p>
            <w:pPr>
              <w:pStyle w:val="null5"/>
              <w:jc w:val="both"/>
            </w:pPr>
            <w:r>
              <w:rPr>
                <w:rFonts w:ascii="仿宋_GB2312" w:hAnsi="仿宋_GB2312" w:cs="仿宋_GB2312" w:eastAsia="仿宋_GB2312"/>
                <w:sz w:val="21"/>
              </w:rPr>
              <w:t>摘穗机构型式：</w:t>
            </w:r>
            <w:r>
              <w:rPr>
                <w:rFonts w:ascii="仿宋_GB2312" w:hAnsi="仿宋_GB2312" w:cs="仿宋_GB2312" w:eastAsia="仿宋_GB2312"/>
                <w:sz w:val="21"/>
              </w:rPr>
              <w:t>摘穗板式</w:t>
            </w:r>
          </w:p>
          <w:p>
            <w:pPr>
              <w:pStyle w:val="null5"/>
              <w:jc w:val="both"/>
            </w:pPr>
            <w:r>
              <w:rPr>
                <w:rFonts w:ascii="仿宋_GB2312" w:hAnsi="仿宋_GB2312" w:cs="仿宋_GB2312" w:eastAsia="仿宋_GB2312"/>
                <w:sz w:val="21"/>
              </w:rPr>
              <w:t>摘穗辊</w:t>
            </w:r>
            <w:r>
              <w:rPr>
                <w:rFonts w:ascii="仿宋_GB2312" w:hAnsi="仿宋_GB2312" w:cs="仿宋_GB2312" w:eastAsia="仿宋_GB2312"/>
                <w:sz w:val="21"/>
              </w:rPr>
              <w:t>/</w:t>
            </w:r>
            <w:r>
              <w:rPr>
                <w:rFonts w:ascii="仿宋_GB2312" w:hAnsi="仿宋_GB2312" w:cs="仿宋_GB2312" w:eastAsia="仿宋_GB2312"/>
                <w:sz w:val="21"/>
              </w:rPr>
              <w:t>板数量：</w:t>
            </w:r>
            <w:r>
              <w:rPr>
                <w:rFonts w:ascii="仿宋_GB2312" w:hAnsi="仿宋_GB2312" w:cs="仿宋_GB2312" w:eastAsia="仿宋_GB2312"/>
                <w:sz w:val="21"/>
              </w:rPr>
              <w:t>12个</w:t>
            </w:r>
          </w:p>
          <w:p>
            <w:pPr>
              <w:pStyle w:val="null5"/>
              <w:jc w:val="both"/>
            </w:pPr>
            <w:r>
              <w:rPr>
                <w:rFonts w:ascii="仿宋_GB2312" w:hAnsi="仿宋_GB2312" w:cs="仿宋_GB2312" w:eastAsia="仿宋_GB2312"/>
                <w:sz w:val="22"/>
              </w:rPr>
              <w:t>剥皮机构型式：</w:t>
            </w:r>
            <w:r>
              <w:rPr>
                <w:rFonts w:ascii="仿宋_GB2312" w:hAnsi="仿宋_GB2312" w:cs="仿宋_GB2312" w:eastAsia="仿宋_GB2312"/>
                <w:sz w:val="22"/>
              </w:rPr>
              <w:t>橡胶辊</w:t>
            </w:r>
          </w:p>
          <w:p>
            <w:pPr>
              <w:pStyle w:val="null5"/>
              <w:jc w:val="both"/>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播种机</w:t>
            </w:r>
          </w:p>
          <w:p>
            <w:pPr>
              <w:pStyle w:val="null5"/>
              <w:jc w:val="both"/>
            </w:pPr>
            <w:r>
              <w:rPr>
                <w:rFonts w:ascii="仿宋_GB2312" w:hAnsi="仿宋_GB2312" w:cs="仿宋_GB2312" w:eastAsia="仿宋_GB2312"/>
                <w:sz w:val="22"/>
                <w:color w:val="000000"/>
              </w:rPr>
              <w:t>适应膜宽：</w:t>
            </w:r>
            <w:r>
              <w:rPr>
                <w:rFonts w:ascii="仿宋_GB2312" w:hAnsi="仿宋_GB2312" w:cs="仿宋_GB2312" w:eastAsia="仿宋_GB2312"/>
                <w:sz w:val="22"/>
                <w:color w:val="000000"/>
              </w:rPr>
              <w:t>700×2mm</w:t>
            </w:r>
          </w:p>
          <w:p>
            <w:pPr>
              <w:pStyle w:val="null5"/>
              <w:jc w:val="both"/>
            </w:pPr>
            <w:r>
              <w:rPr>
                <w:rFonts w:ascii="仿宋_GB2312" w:hAnsi="仿宋_GB2312" w:cs="仿宋_GB2312" w:eastAsia="仿宋_GB2312"/>
                <w:sz w:val="22"/>
                <w:color w:val="000000"/>
              </w:rPr>
              <w:t>排肥器形式：</w:t>
            </w:r>
            <w:r>
              <w:rPr>
                <w:rFonts w:ascii="仿宋_GB2312" w:hAnsi="仿宋_GB2312" w:cs="仿宋_GB2312" w:eastAsia="仿宋_GB2312"/>
                <w:sz w:val="22"/>
                <w:color w:val="000000"/>
              </w:rPr>
              <w:t>外槽轮式</w:t>
            </w:r>
          </w:p>
          <w:p>
            <w:pPr>
              <w:pStyle w:val="null5"/>
              <w:jc w:val="both"/>
            </w:pPr>
            <w:r>
              <w:rPr>
                <w:rFonts w:ascii="仿宋_GB2312" w:hAnsi="仿宋_GB2312" w:cs="仿宋_GB2312" w:eastAsia="仿宋_GB2312"/>
                <w:sz w:val="22"/>
                <w:color w:val="000000"/>
              </w:rPr>
              <w:t>排肥开沟器形式：</w:t>
            </w:r>
            <w:r>
              <w:rPr>
                <w:rFonts w:ascii="仿宋_GB2312" w:hAnsi="仿宋_GB2312" w:cs="仿宋_GB2312" w:eastAsia="仿宋_GB2312"/>
                <w:sz w:val="22"/>
                <w:color w:val="000000"/>
              </w:rPr>
              <w:t>单圆盘</w:t>
            </w:r>
          </w:p>
          <w:p>
            <w:pPr>
              <w:pStyle w:val="null5"/>
              <w:jc w:val="both"/>
            </w:pPr>
            <w:r>
              <w:rPr>
                <w:rFonts w:ascii="仿宋_GB2312" w:hAnsi="仿宋_GB2312" w:cs="仿宋_GB2312" w:eastAsia="仿宋_GB2312"/>
                <w:sz w:val="22"/>
                <w:color w:val="000000"/>
              </w:rPr>
              <w:t>覆土器形式：</w:t>
            </w:r>
            <w:r>
              <w:rPr>
                <w:rFonts w:ascii="仿宋_GB2312" w:hAnsi="仿宋_GB2312" w:cs="仿宋_GB2312" w:eastAsia="仿宋_GB2312"/>
                <w:sz w:val="22"/>
                <w:color w:val="000000"/>
              </w:rPr>
              <w:t>膜边：圆盘式；膜面：滚筒式</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拖拉机</w:t>
            </w:r>
          </w:p>
          <w:p>
            <w:pPr>
              <w:pStyle w:val="null5"/>
              <w:jc w:val="both"/>
            </w:pPr>
            <w:r>
              <w:rPr>
                <w:rFonts w:ascii="仿宋_GB2312" w:hAnsi="仿宋_GB2312" w:cs="仿宋_GB2312" w:eastAsia="仿宋_GB2312"/>
                <w:sz w:val="18"/>
                <w:color w:val="000000"/>
              </w:rPr>
              <w:t>拖挂装置：</w:t>
            </w:r>
            <w:r>
              <w:rPr>
                <w:rFonts w:ascii="仿宋_GB2312" w:hAnsi="仿宋_GB2312" w:cs="仿宋_GB2312" w:eastAsia="仿宋_GB2312"/>
                <w:sz w:val="18"/>
                <w:color w:val="000000"/>
              </w:rPr>
              <w:t>快换整体</w:t>
            </w:r>
          </w:p>
          <w:p>
            <w:pPr>
              <w:pStyle w:val="null5"/>
              <w:jc w:val="both"/>
            </w:pPr>
            <w:r>
              <w:rPr>
                <w:rFonts w:ascii="仿宋_GB2312" w:hAnsi="仿宋_GB2312" w:cs="仿宋_GB2312" w:eastAsia="仿宋_GB2312"/>
                <w:sz w:val="18"/>
                <w:color w:val="000000"/>
              </w:rPr>
              <w:t>仪表：</w:t>
            </w:r>
            <w:r>
              <w:rPr>
                <w:rFonts w:ascii="仿宋_GB2312" w:hAnsi="仿宋_GB2312" w:cs="仿宋_GB2312" w:eastAsia="仿宋_GB2312"/>
                <w:sz w:val="18"/>
                <w:color w:val="000000"/>
              </w:rPr>
              <w:t>液晶仪表</w:t>
            </w:r>
          </w:p>
          <w:p>
            <w:pPr>
              <w:pStyle w:val="null5"/>
              <w:jc w:val="both"/>
            </w:pPr>
            <w:r>
              <w:rPr>
                <w:rFonts w:ascii="仿宋_GB2312" w:hAnsi="仿宋_GB2312" w:cs="仿宋_GB2312" w:eastAsia="仿宋_GB2312"/>
                <w:sz w:val="18"/>
                <w:color w:val="000000"/>
              </w:rPr>
              <w:t>动力输出</w:t>
            </w:r>
            <w:r>
              <w:rPr>
                <w:rFonts w:ascii="仿宋_GB2312" w:hAnsi="仿宋_GB2312" w:cs="仿宋_GB2312" w:eastAsia="仿宋_GB2312"/>
                <w:sz w:val="18"/>
                <w:color w:val="000000"/>
              </w:rPr>
              <w:t>(8键)：</w:t>
            </w:r>
            <w:r>
              <w:rPr>
                <w:rFonts w:ascii="仿宋_GB2312" w:hAnsi="仿宋_GB2312" w:cs="仿宋_GB2312" w:eastAsia="仿宋_GB2312"/>
                <w:sz w:val="18"/>
                <w:color w:val="000000"/>
              </w:rPr>
              <w:t>540/720</w:t>
            </w:r>
          </w:p>
          <w:p>
            <w:pPr>
              <w:pStyle w:val="null5"/>
              <w:jc w:val="both"/>
            </w:pPr>
            <w:r>
              <w:rPr>
                <w:rFonts w:ascii="仿宋_GB2312" w:hAnsi="仿宋_GB2312" w:cs="仿宋_GB2312" w:eastAsia="仿宋_GB2312"/>
                <w:sz w:val="18"/>
                <w:color w:val="000000"/>
              </w:rPr>
              <w:t>变速箱：</w:t>
            </w:r>
            <w:r>
              <w:rPr>
                <w:rFonts w:ascii="仿宋_GB2312" w:hAnsi="仿宋_GB2312" w:cs="仿宋_GB2312" w:eastAsia="仿宋_GB2312"/>
                <w:sz w:val="18"/>
                <w:color w:val="000000"/>
              </w:rPr>
              <w:t>吊挂、侧操纵</w:t>
            </w:r>
            <w:r>
              <w:rPr>
                <w:rFonts w:ascii="仿宋_GB2312" w:hAnsi="仿宋_GB2312" w:cs="仿宋_GB2312" w:eastAsia="仿宋_GB2312"/>
                <w:sz w:val="18"/>
                <w:color w:val="000000"/>
              </w:rPr>
              <w:t>8+8梭式挡</w:t>
            </w:r>
          </w:p>
        </w:tc>
      </w:tr>
      <w:tr>
        <w:tc>
          <w:tcPr>
            <w:tcW w:type="dxa" w:w="2769"/>
          </w:tcPr>
          <w:p>
            <w:pPr>
              <w:pStyle w:val="null5"/>
              <w:jc w:val="left"/>
            </w:pPr>
            <w:r>
              <w:rPr>
                <w:rFonts w:ascii="仿宋_GB2312" w:hAnsi="仿宋_GB2312" w:cs="仿宋_GB2312" w:eastAsia="仿宋_GB2312"/>
              </w:rPr>
              <w:t>7</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捆机</w:t>
            </w:r>
          </w:p>
          <w:p>
            <w:pPr>
              <w:pStyle w:val="null5"/>
              <w:jc w:val="both"/>
            </w:pPr>
            <w:r>
              <w:rPr>
                <w:rFonts w:ascii="仿宋_GB2312" w:hAnsi="仿宋_GB2312" w:cs="仿宋_GB2312" w:eastAsia="仿宋_GB2312"/>
                <w:sz w:val="21"/>
              </w:rPr>
              <w:t>草捆尺寸</w:t>
            </w:r>
            <w:r>
              <w:rPr>
                <w:rFonts w:ascii="仿宋_GB2312" w:hAnsi="仿宋_GB2312" w:cs="仿宋_GB2312" w:eastAsia="仿宋_GB2312"/>
                <w:sz w:val="21"/>
              </w:rPr>
              <w:t>(mm)1250x1230</w:t>
            </w:r>
          </w:p>
          <w:p>
            <w:pPr>
              <w:pStyle w:val="null5"/>
              <w:jc w:val="both"/>
            </w:pPr>
            <w:r>
              <w:rPr>
                <w:rFonts w:ascii="仿宋_GB2312" w:hAnsi="仿宋_GB2312" w:cs="仿宋_GB2312" w:eastAsia="仿宋_GB2312"/>
                <w:sz w:val="21"/>
              </w:rPr>
              <w:t>草捆重量</w:t>
            </w:r>
            <w:r>
              <w:rPr>
                <w:rFonts w:ascii="仿宋_GB2312" w:hAnsi="仿宋_GB2312" w:cs="仿宋_GB2312" w:eastAsia="仿宋_GB2312"/>
                <w:sz w:val="21"/>
              </w:rPr>
              <w:t>(Kg)250</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产品的特性</w:t>
            </w:r>
          </w:p>
        </w:tc>
        <w:tc>
          <w:tcPr>
            <w:tcW w:type="dxa" w:w="3115"/>
          </w:tcPr>
          <w:p>
            <w:pPr>
              <w:pStyle w:val="null5"/>
              <w:jc w:val="left"/>
            </w:pPr>
            <w:r>
              <w:rPr>
                <w:rFonts w:ascii="仿宋_GB2312" w:hAnsi="仿宋_GB2312" w:cs="仿宋_GB2312" w:eastAsia="仿宋_GB2312"/>
              </w:rPr>
              <w:t>供应商拟定的产品特性方案（包括产品的整体质量、性能状况、选用品牌 、功能性、稳定性、技术水平领先性等方面）描述全面、合理、详细的得 5分；产品特性方案内容基本完善、较详细的得3分；产品特性方案内容不 完善、方案较差的得1分；不提供的得0分。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供应商拟定的供货方案内容完善、可行性强的得5分；供货方案内容基本 完善、可行性一般的得3分；供货方案内容不完善、可行性较差的得1分； 不提供的得0分。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运输方案</w:t>
            </w:r>
          </w:p>
        </w:tc>
        <w:tc>
          <w:tcPr>
            <w:tcW w:type="dxa" w:w="3115"/>
          </w:tcPr>
          <w:p>
            <w:pPr>
              <w:pStyle w:val="null5"/>
              <w:jc w:val="left"/>
            </w:pPr>
            <w:r>
              <w:rPr>
                <w:rFonts w:ascii="仿宋_GB2312" w:hAnsi="仿宋_GB2312" w:cs="仿宋_GB2312" w:eastAsia="仿宋_GB2312"/>
              </w:rPr>
              <w:t>供应商拟定的运输方案内容完善、可行性强的得6分；运输方案内容基本 完善、可行性一般的得3分；运输方案内容不完善、可行性较差的得1分； 不提供的得0分。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保证交货期的措施</w:t>
            </w:r>
          </w:p>
        </w:tc>
        <w:tc>
          <w:tcPr>
            <w:tcW w:type="dxa" w:w="3115"/>
          </w:tcPr>
          <w:p>
            <w:pPr>
              <w:pStyle w:val="null5"/>
              <w:jc w:val="left"/>
            </w:pPr>
            <w:r>
              <w:rPr>
                <w:rFonts w:ascii="仿宋_GB2312" w:hAnsi="仿宋_GB2312" w:cs="仿宋_GB2312" w:eastAsia="仿宋_GB2312"/>
              </w:rPr>
              <w:t>供应商拟定的保证交货期的措施内容完善、可行性强的得6分；保证交货 期的措施内容基本完善、可行性一般的得3分；保证交货期的措施内容不 完善、可行性较差的得1分；不提供的得0分。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供应商拟定的质量保证措施内容完善、可行性强的得6分；质量保证措施 内容基本完善、可行性一般的得3分；质量保证措施内容不完善、可行性 较差的得1分；不提供的得0分。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验收方案</w:t>
            </w:r>
          </w:p>
        </w:tc>
        <w:tc>
          <w:tcPr>
            <w:tcW w:type="dxa" w:w="3115"/>
          </w:tcPr>
          <w:p>
            <w:pPr>
              <w:pStyle w:val="null5"/>
              <w:jc w:val="left"/>
            </w:pPr>
            <w:r>
              <w:rPr>
                <w:rFonts w:ascii="仿宋_GB2312" w:hAnsi="仿宋_GB2312" w:cs="仿宋_GB2312" w:eastAsia="仿宋_GB2312"/>
              </w:rPr>
              <w:t>针对产品的验收有明确的验收流程和验收标准，验收方案内容清晰，流程 简洁，有可操作性的得5分；验收方案内容较清晰，流程较简洁，操作性 一般的，得3分；验收方案内容一般，流程不清晰，操作性复杂的，得1分; 不提供的得0分。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设备故障维修方案</w:t>
            </w:r>
          </w:p>
        </w:tc>
        <w:tc>
          <w:tcPr>
            <w:tcW w:type="dxa" w:w="3115"/>
          </w:tcPr>
          <w:p>
            <w:pPr>
              <w:pStyle w:val="null5"/>
              <w:jc w:val="left"/>
            </w:pPr>
            <w:r>
              <w:rPr>
                <w:rFonts w:ascii="仿宋_GB2312" w:hAnsi="仿宋_GB2312" w:cs="仿宋_GB2312" w:eastAsia="仿宋_GB2312"/>
              </w:rPr>
              <w:t>供应商拟定的设备故障维修方案内容完善、可行性强的得6分；设备故障 维修方案内容基本完善、可行性一般的得3分；设备故障维修方案内容不 完善、可行性较差的得1分；不提供的得0分。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应急保障措施</w:t>
            </w:r>
          </w:p>
        </w:tc>
        <w:tc>
          <w:tcPr>
            <w:tcW w:type="dxa" w:w="3115"/>
          </w:tcPr>
          <w:p>
            <w:pPr>
              <w:pStyle w:val="null5"/>
              <w:jc w:val="left"/>
            </w:pPr>
            <w:r>
              <w:rPr>
                <w:rFonts w:ascii="仿宋_GB2312" w:hAnsi="仿宋_GB2312" w:cs="仿宋_GB2312" w:eastAsia="仿宋_GB2312"/>
              </w:rPr>
              <w:t>供应商拟定的应急保障措施内容完善、可行性强的得5分；应急保障措施 内容基本完善、可行性一般的得3分；应急保障措施内容不完善、可行性 较差的得1分；不提供的得0分。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产品的调试、技术培训方案</w:t>
            </w:r>
          </w:p>
        </w:tc>
        <w:tc>
          <w:tcPr>
            <w:tcW w:type="dxa" w:w="3115"/>
          </w:tcPr>
          <w:p>
            <w:pPr>
              <w:pStyle w:val="null5"/>
              <w:jc w:val="left"/>
            </w:pPr>
            <w:r>
              <w:rPr>
                <w:rFonts w:ascii="仿宋_GB2312" w:hAnsi="仿宋_GB2312" w:cs="仿宋_GB2312" w:eastAsia="仿宋_GB2312"/>
              </w:rPr>
              <w:t>根据供应商提供的产品的调试、技术培训方案，包括简单的故障识别及排 除和安全知识的培训等方面进行评分，合理可行得6分，一般得3分，差得 1分，不提供得0分。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投标人自2022年1月1日至投标截止日具有同类产品供货业绩，每提供一 份业绩证明材料得2分，最多得10分；注：投标文件中须提供合同原件扫 描件（以合同签订时间为准，合同未填写时间不予计分）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售后保养方案</w:t>
            </w:r>
          </w:p>
        </w:tc>
        <w:tc>
          <w:tcPr>
            <w:tcW w:type="dxa" w:w="3115"/>
          </w:tcPr>
          <w:p>
            <w:pPr>
              <w:pStyle w:val="null5"/>
              <w:jc w:val="left"/>
            </w:pPr>
            <w:r>
              <w:rPr>
                <w:rFonts w:ascii="仿宋_GB2312" w:hAnsi="仿宋_GB2312" w:cs="仿宋_GB2312" w:eastAsia="仿宋_GB2312"/>
              </w:rPr>
              <w:t>供应商按维护保养服务制定可行的保养方案，方案内须明确维护保养范围 、内容、服务流程、维护计划等内容，方案完整、合理可行的得10分；方 案较完整、相对合理的得6分；方案合理性较差的得2分；不提供的得0分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