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清水河县城关镇人居环境整治与环境卫生服务项目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清水河县城关镇人民政府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内蒙古明辰管理咨询有限公司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150124-MCZX-GK-20250001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内蒙古明辰管理咨询有限公司</w:t>
      </w:r>
      <w:r>
        <w:rPr>
          <w:rFonts w:ascii="仿宋_GB2312" w:hAnsi="仿宋_GB2312" w:cs="仿宋_GB2312" w:eastAsia="仿宋_GB2312"/>
        </w:rPr>
        <w:t xml:space="preserve"> 受 </w:t>
      </w:r>
      <w:r>
        <w:rPr>
          <w:rFonts w:ascii="仿宋_GB2312" w:hAnsi="仿宋_GB2312" w:cs="仿宋_GB2312" w:eastAsia="仿宋_GB2312"/>
        </w:rPr>
        <w:t>清水河县城关镇人民政府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清水河县城关镇人居环境整治与环境卫生服务项目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清水河县城关镇人居环境整治与环境卫生服务项目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150124-MCZX-GK-20250001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清政采计划[2025]00075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4,566,056.00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清水河县城关镇人居环境整治与环境卫生服务项目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4,566,056.00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人无需到达开标现场，开标当日在投标截止时间前登录“内蒙古自治区政府采购网--政府采购云平台”参加远程开标）。请供应商使用投标客户端严格按照招标文件的相关要求制作和上传电子投标文件，并按照相关要求参加开标。</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内蒙古明辰管理咨询有限公司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内蒙古自治区呼和浩特市回民区银都大厦A座11层1103室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刘蓉、王昊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0471-3965008、18504999629、15661267868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清水河县城关镇人民政府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清水河县城关镇平安街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011600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李彩凤</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15124799736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代理服务费收费标准：参照内蒙古建设工程招标代理收费指导意见（内工建协【2022】34号文）服务类收费标准的基础上下浮10%收取费用。</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清水河县城关镇人民政府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内蒙古明辰管理咨询有限公司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审查供应商2023年度经会计师事务所出具的财务审计报告或提供良好的商业信誉和健全的财务会计制度声明函。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参加政府采购依法缴纳税收和社会保障资金承诺书或提供递交投标文件截止之日前一年有依法缴纳税收和社会保障资金的良好记录内(至少一个月)的良好缴纳税收的相关凭据(以税务机关提供的纳税凭据或银行入账单为准)及递交响应文件截止之日前一年内(至少一个月)缴纳社会保险的凭证(以专用收据或社会保险缴纳清单为准)。</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为持续改善清水河县城关镇人居环境，建设美丽宜居乡村，更好的进行城区环境卫生整治工作，统筹开展城区道路沿线、居民集中点环境卫生整治工作，确保人居环境整治长效运行。</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服务期：</w:t>
              <w:br/>
              <w:t>一年（合同期满后，在预算不变的情况下由采购人对中标供应商进行考核，并根据考核结果确定是否续签。续签不超过2年，合同一年一签）。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服务地点：采购人要求地点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1、第一季度根据考核结果支付，达到付款条件起30日，支付合同总金额的25.00%</w:t>
            </w:r>
          </w:p>
          <w:p>
            <w:pPr>
              <w:pStyle w:val="null5"/>
              <w:jc w:val="left"/>
            </w:pPr>
            <w:r>
              <w:rPr>
                <w:rFonts w:ascii="仿宋_GB2312" w:hAnsi="仿宋_GB2312" w:cs="仿宋_GB2312" w:eastAsia="仿宋_GB2312"/>
              </w:rPr>
              <w:t>2、第二季度根据考核结果支付，达到付款条件起30日，支付合同总金额的25.00%</w:t>
            </w:r>
          </w:p>
          <w:p>
            <w:pPr>
              <w:pStyle w:val="null5"/>
              <w:jc w:val="left"/>
            </w:pPr>
            <w:r>
              <w:rPr>
                <w:rFonts w:ascii="仿宋_GB2312" w:hAnsi="仿宋_GB2312" w:cs="仿宋_GB2312" w:eastAsia="仿宋_GB2312"/>
              </w:rPr>
              <w:t>3、第三季度根据考核结果支付，达到付款条件起30日，支付合同总金额的25.00%</w:t>
            </w:r>
          </w:p>
          <w:p>
            <w:pPr>
              <w:pStyle w:val="null5"/>
              <w:jc w:val="left"/>
            </w:pPr>
            <w:r>
              <w:rPr>
                <w:rFonts w:ascii="仿宋_GB2312" w:hAnsi="仿宋_GB2312" w:cs="仿宋_GB2312" w:eastAsia="仿宋_GB2312"/>
              </w:rPr>
              <w:t>4、第四季度根据考核结果支付，达到付款条件起30日，支付合同总金额的25.00%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标的名称：清水河县城关镇人居环境整治与环境卫生服务项目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rPr>
              <w:t>工作内容</w:t>
            </w:r>
          </w:p>
          <w:p>
            <w:pPr>
              <w:pStyle w:val="null5"/>
              <w:jc w:val="left"/>
            </w:pPr>
            <w:r>
              <w:rPr>
                <w:rFonts w:ascii="仿宋_GB2312" w:hAnsi="仿宋_GB2312" w:cs="仿宋_GB2312" w:eastAsia="仿宋_GB2312"/>
                <w:sz w:val="21"/>
              </w:rPr>
              <w:t>（一）沟壑清理</w:t>
            </w:r>
          </w:p>
          <w:p>
            <w:pPr>
              <w:pStyle w:val="null5"/>
              <w:jc w:val="left"/>
            </w:pPr>
            <w:r>
              <w:rPr>
                <w:rFonts w:ascii="仿宋_GB2312" w:hAnsi="仿宋_GB2312" w:cs="仿宋_GB2312" w:eastAsia="仿宋_GB2312"/>
                <w:sz w:val="21"/>
              </w:rPr>
              <w:t>蒙校后沟、卧龙沟、食堂沟、窑湾沟、姜家沟后沟、黄土洼沟、大庙沟、正沟沟、党校沟、小南沟、东景苑沟、神池夭桥沟等</w:t>
            </w:r>
            <w:r>
              <w:rPr>
                <w:rFonts w:ascii="仿宋_GB2312" w:hAnsi="仿宋_GB2312" w:cs="仿宋_GB2312" w:eastAsia="仿宋_GB2312"/>
                <w:sz w:val="21"/>
              </w:rPr>
              <w:t>13</w:t>
            </w:r>
            <w:r>
              <w:rPr>
                <w:rFonts w:ascii="仿宋_GB2312" w:hAnsi="仿宋_GB2312" w:cs="仿宋_GB2312" w:eastAsia="仿宋_GB2312"/>
                <w:sz w:val="21"/>
              </w:rPr>
              <w:t>条沟壑垃圾集中清理，及其余存量较小的</w:t>
            </w:r>
            <w:r>
              <w:rPr>
                <w:rFonts w:ascii="仿宋_GB2312" w:hAnsi="仿宋_GB2312" w:cs="仿宋_GB2312" w:eastAsia="仿宋_GB2312"/>
                <w:sz w:val="21"/>
              </w:rPr>
              <w:t>19</w:t>
            </w:r>
            <w:r>
              <w:rPr>
                <w:rFonts w:ascii="仿宋_GB2312" w:hAnsi="仿宋_GB2312" w:cs="仿宋_GB2312" w:eastAsia="仿宋_GB2312"/>
                <w:sz w:val="21"/>
              </w:rPr>
              <w:t>条沟壑。</w:t>
            </w:r>
          </w:p>
          <w:p>
            <w:pPr>
              <w:pStyle w:val="null5"/>
              <w:jc w:val="left"/>
            </w:pPr>
            <w:r>
              <w:rPr>
                <w:rFonts w:ascii="仿宋_GB2312" w:hAnsi="仿宋_GB2312" w:cs="仿宋_GB2312" w:eastAsia="仿宋_GB2312"/>
                <w:sz w:val="21"/>
              </w:rPr>
              <w:t>（二）沟壑管控</w:t>
            </w:r>
          </w:p>
          <w:p>
            <w:pPr>
              <w:pStyle w:val="null5"/>
              <w:jc w:val="left"/>
            </w:pPr>
            <w:r>
              <w:rPr>
                <w:rFonts w:ascii="仿宋_GB2312" w:hAnsi="仿宋_GB2312" w:cs="仿宋_GB2312" w:eastAsia="仿宋_GB2312"/>
                <w:sz w:val="21"/>
              </w:rPr>
              <w:t>为防止再次向沟壑内倾倒垃圾，需雇人专管。</w:t>
            </w:r>
          </w:p>
          <w:p>
            <w:pPr>
              <w:pStyle w:val="null5"/>
              <w:jc w:val="left"/>
            </w:pPr>
            <w:r>
              <w:rPr>
                <w:rFonts w:ascii="仿宋_GB2312" w:hAnsi="仿宋_GB2312" w:cs="仿宋_GB2312" w:eastAsia="仿宋_GB2312"/>
                <w:sz w:val="21"/>
              </w:rPr>
              <w:t>（三）片区清扫</w:t>
            </w:r>
          </w:p>
          <w:p>
            <w:pPr>
              <w:pStyle w:val="null5"/>
              <w:jc w:val="left"/>
            </w:pPr>
            <w:r>
              <w:rPr>
                <w:rFonts w:ascii="仿宋_GB2312" w:hAnsi="仿宋_GB2312" w:cs="仿宋_GB2312" w:eastAsia="仿宋_GB2312"/>
                <w:sz w:val="21"/>
              </w:rPr>
              <w:t>城边</w:t>
            </w:r>
            <w:r>
              <w:rPr>
                <w:rFonts w:ascii="仿宋_GB2312" w:hAnsi="仿宋_GB2312" w:cs="仿宋_GB2312" w:eastAsia="仿宋_GB2312"/>
                <w:sz w:val="21"/>
              </w:rPr>
              <w:t>5</w:t>
            </w:r>
            <w:r>
              <w:rPr>
                <w:rFonts w:ascii="仿宋_GB2312" w:hAnsi="仿宋_GB2312" w:cs="仿宋_GB2312" w:eastAsia="仿宋_GB2312"/>
                <w:sz w:val="21"/>
              </w:rPr>
              <w:t>个村委所辖自然村垃圾清扫工作。</w:t>
            </w:r>
          </w:p>
          <w:p>
            <w:pPr>
              <w:pStyle w:val="null5"/>
              <w:jc w:val="left"/>
            </w:pPr>
            <w:r>
              <w:rPr>
                <w:rFonts w:ascii="仿宋_GB2312" w:hAnsi="仿宋_GB2312" w:cs="仿宋_GB2312" w:eastAsia="仿宋_GB2312"/>
                <w:sz w:val="21"/>
              </w:rPr>
              <w:t>（四）公厕维护清扫</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、城区</w:t>
            </w:r>
            <w:r>
              <w:rPr>
                <w:rFonts w:ascii="仿宋_GB2312" w:hAnsi="仿宋_GB2312" w:cs="仿宋_GB2312" w:eastAsia="仿宋_GB2312"/>
                <w:sz w:val="21"/>
              </w:rPr>
              <w:t>19</w:t>
            </w:r>
            <w:r>
              <w:rPr>
                <w:rFonts w:ascii="仿宋_GB2312" w:hAnsi="仿宋_GB2312" w:cs="仿宋_GB2312" w:eastAsia="仿宋_GB2312"/>
                <w:sz w:val="21"/>
              </w:rPr>
              <w:t>座水冲厕所保洁工作；</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座旱厕清扫工作（动态管护）。</w:t>
            </w:r>
          </w:p>
          <w:p>
            <w:pPr>
              <w:pStyle w:val="null5"/>
              <w:jc w:val="left"/>
            </w:pPr>
            <w:r>
              <w:rPr>
                <w:rFonts w:ascii="仿宋_GB2312" w:hAnsi="仿宋_GB2312" w:cs="仿宋_GB2312" w:eastAsia="仿宋_GB2312"/>
                <w:sz w:val="21"/>
              </w:rPr>
              <w:t>（五）巷道清扫</w:t>
            </w:r>
          </w:p>
          <w:p>
            <w:pPr>
              <w:pStyle w:val="null5"/>
              <w:jc w:val="left"/>
            </w:pPr>
            <w:r>
              <w:rPr>
                <w:rFonts w:ascii="仿宋_GB2312" w:hAnsi="仿宋_GB2312" w:cs="仿宋_GB2312" w:eastAsia="仿宋_GB2312"/>
                <w:sz w:val="21"/>
              </w:rPr>
              <w:t>永安街以北</w:t>
            </w:r>
            <w:r>
              <w:rPr>
                <w:rFonts w:ascii="仿宋_GB2312" w:hAnsi="仿宋_GB2312" w:cs="仿宋_GB2312" w:eastAsia="仿宋_GB2312"/>
                <w:sz w:val="21"/>
              </w:rPr>
              <w:t>36</w:t>
            </w:r>
            <w:r>
              <w:rPr>
                <w:rFonts w:ascii="仿宋_GB2312" w:hAnsi="仿宋_GB2312" w:cs="仿宋_GB2312" w:eastAsia="仿宋_GB2312"/>
                <w:sz w:val="21"/>
              </w:rPr>
              <w:t>条巷道、平安街以南</w:t>
            </w:r>
            <w:r>
              <w:rPr>
                <w:rFonts w:ascii="仿宋_GB2312" w:hAnsi="仿宋_GB2312" w:cs="仿宋_GB2312" w:eastAsia="仿宋_GB2312"/>
                <w:sz w:val="21"/>
              </w:rPr>
              <w:t>10</w:t>
            </w:r>
            <w:r>
              <w:rPr>
                <w:rFonts w:ascii="仿宋_GB2312" w:hAnsi="仿宋_GB2312" w:cs="仿宋_GB2312" w:eastAsia="仿宋_GB2312"/>
                <w:sz w:val="21"/>
              </w:rPr>
              <w:t>条巷道共计</w:t>
            </w:r>
            <w:r>
              <w:rPr>
                <w:rFonts w:ascii="仿宋_GB2312" w:hAnsi="仿宋_GB2312" w:cs="仿宋_GB2312" w:eastAsia="仿宋_GB2312"/>
                <w:sz w:val="21"/>
              </w:rPr>
              <w:t>112739</w:t>
            </w:r>
            <w:r>
              <w:rPr>
                <w:rFonts w:ascii="仿宋_GB2312" w:hAnsi="仿宋_GB2312" w:cs="仿宋_GB2312" w:eastAsia="仿宋_GB2312"/>
                <w:sz w:val="21"/>
              </w:rPr>
              <w:t>平米，北山公园路共计</w:t>
            </w:r>
            <w:r>
              <w:rPr>
                <w:rFonts w:ascii="仿宋_GB2312" w:hAnsi="仿宋_GB2312" w:cs="仿宋_GB2312" w:eastAsia="仿宋_GB2312"/>
                <w:sz w:val="21"/>
              </w:rPr>
              <w:t>60000</w:t>
            </w:r>
            <w:r>
              <w:rPr>
                <w:rFonts w:ascii="仿宋_GB2312" w:hAnsi="仿宋_GB2312" w:cs="仿宋_GB2312" w:eastAsia="仿宋_GB2312"/>
                <w:sz w:val="21"/>
              </w:rPr>
              <w:t>平米。</w:t>
            </w:r>
          </w:p>
          <w:p>
            <w:pPr>
              <w:pStyle w:val="null5"/>
              <w:jc w:val="left"/>
            </w:pPr>
            <w:r>
              <w:rPr>
                <w:rFonts w:ascii="仿宋_GB2312" w:hAnsi="仿宋_GB2312" w:cs="仿宋_GB2312" w:eastAsia="仿宋_GB2312"/>
                <w:sz w:val="21"/>
              </w:rPr>
              <w:t>（六）道路清扫</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小庙子红泥壕旧</w:t>
            </w:r>
            <w:r>
              <w:rPr>
                <w:rFonts w:ascii="仿宋_GB2312" w:hAnsi="仿宋_GB2312" w:cs="仿宋_GB2312" w:eastAsia="仿宋_GB2312"/>
                <w:sz w:val="21"/>
              </w:rPr>
              <w:t>209</w:t>
            </w:r>
            <w:r>
              <w:rPr>
                <w:rFonts w:ascii="仿宋_GB2312" w:hAnsi="仿宋_GB2312" w:cs="仿宋_GB2312" w:eastAsia="仿宋_GB2312"/>
                <w:sz w:val="21"/>
              </w:rPr>
              <w:t>国道武皇宾馆到新</w:t>
            </w:r>
            <w:r>
              <w:rPr>
                <w:rFonts w:ascii="仿宋_GB2312" w:hAnsi="仿宋_GB2312" w:cs="仿宋_GB2312" w:eastAsia="仿宋_GB2312"/>
                <w:sz w:val="21"/>
              </w:rPr>
              <w:t>209</w:t>
            </w:r>
            <w:r>
              <w:rPr>
                <w:rFonts w:ascii="仿宋_GB2312" w:hAnsi="仿宋_GB2312" w:cs="仿宋_GB2312" w:eastAsia="仿宋_GB2312"/>
                <w:sz w:val="21"/>
              </w:rPr>
              <w:t>国道段（长</w:t>
            </w:r>
            <w:r>
              <w:rPr>
                <w:rFonts w:ascii="仿宋_GB2312" w:hAnsi="仿宋_GB2312" w:cs="仿宋_GB2312" w:eastAsia="仿宋_GB2312"/>
                <w:sz w:val="21"/>
              </w:rPr>
              <w:t>5782</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8.1</w:t>
            </w:r>
            <w:r>
              <w:rPr>
                <w:rFonts w:ascii="仿宋_GB2312" w:hAnsi="仿宋_GB2312" w:cs="仿宋_GB2312" w:eastAsia="仿宋_GB2312"/>
                <w:sz w:val="21"/>
              </w:rPr>
              <w:t>米）</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银滚山长城公园瞭望塔到红旗家属区口段（长</w:t>
            </w:r>
            <w:r>
              <w:rPr>
                <w:rFonts w:ascii="仿宋_GB2312" w:hAnsi="仿宋_GB2312" w:cs="仿宋_GB2312" w:eastAsia="仿宋_GB2312"/>
                <w:sz w:val="21"/>
              </w:rPr>
              <w:t>2150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2.6</w:t>
            </w:r>
            <w:r>
              <w:rPr>
                <w:rFonts w:ascii="仿宋_GB2312" w:hAnsi="仿宋_GB2312" w:cs="仿宋_GB2312" w:eastAsia="仿宋_GB2312"/>
                <w:sz w:val="21"/>
              </w:rPr>
              <w:t>米）</w:t>
            </w:r>
          </w:p>
          <w:p>
            <w:pPr>
              <w:pStyle w:val="null5"/>
              <w:jc w:val="left"/>
            </w:pPr>
            <w:r>
              <w:rPr>
                <w:rFonts w:ascii="仿宋_GB2312" w:hAnsi="仿宋_GB2312" w:cs="仿宋_GB2312" w:eastAsia="仿宋_GB2312"/>
                <w:sz w:val="21"/>
              </w:rPr>
              <w:t>3.</w:t>
            </w:r>
            <w:r>
              <w:rPr>
                <w:rFonts w:ascii="仿宋_GB2312" w:hAnsi="仿宋_GB2312" w:cs="仿宋_GB2312" w:eastAsia="仿宋_GB2312"/>
                <w:sz w:val="21"/>
              </w:rPr>
              <w:t>王三窑大桥南端到走马也村口段（长</w:t>
            </w:r>
            <w:r>
              <w:rPr>
                <w:rFonts w:ascii="仿宋_GB2312" w:hAnsi="仿宋_GB2312" w:cs="仿宋_GB2312" w:eastAsia="仿宋_GB2312"/>
                <w:sz w:val="21"/>
              </w:rPr>
              <w:t>2450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3.5</w:t>
            </w:r>
            <w:r>
              <w:rPr>
                <w:rFonts w:ascii="仿宋_GB2312" w:hAnsi="仿宋_GB2312" w:cs="仿宋_GB2312" w:eastAsia="仿宋_GB2312"/>
                <w:sz w:val="21"/>
              </w:rPr>
              <w:t>米）</w:t>
            </w:r>
          </w:p>
          <w:p>
            <w:pPr>
              <w:pStyle w:val="null5"/>
              <w:jc w:val="left"/>
            </w:pPr>
            <w:r>
              <w:rPr>
                <w:rFonts w:ascii="仿宋_GB2312" w:hAnsi="仿宋_GB2312" w:cs="仿宋_GB2312" w:eastAsia="仿宋_GB2312"/>
                <w:sz w:val="21"/>
              </w:rPr>
              <w:t>4.</w:t>
            </w:r>
            <w:r>
              <w:rPr>
                <w:rFonts w:ascii="仿宋_GB2312" w:hAnsi="仿宋_GB2312" w:cs="仿宋_GB2312" w:eastAsia="仿宋_GB2312"/>
                <w:sz w:val="21"/>
              </w:rPr>
              <w:t>新建巷至博物馆道路清扫拉运（长</w:t>
            </w:r>
            <w:r>
              <w:rPr>
                <w:rFonts w:ascii="仿宋_GB2312" w:hAnsi="仿宋_GB2312" w:cs="仿宋_GB2312" w:eastAsia="仿宋_GB2312"/>
                <w:sz w:val="21"/>
              </w:rPr>
              <w:t>1400</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6.5</w:t>
            </w:r>
            <w:r>
              <w:rPr>
                <w:rFonts w:ascii="仿宋_GB2312" w:hAnsi="仿宋_GB2312" w:cs="仿宋_GB2312" w:eastAsia="仿宋_GB2312"/>
                <w:sz w:val="21"/>
              </w:rPr>
              <w:t>米）。</w:t>
            </w:r>
          </w:p>
          <w:p>
            <w:pPr>
              <w:pStyle w:val="null5"/>
              <w:jc w:val="left"/>
            </w:pPr>
            <w:r>
              <w:rPr>
                <w:rFonts w:ascii="仿宋_GB2312" w:hAnsi="仿宋_GB2312" w:cs="仿宋_GB2312" w:eastAsia="仿宋_GB2312"/>
                <w:sz w:val="21"/>
              </w:rPr>
              <w:t>（七）增值服务（不包括在报价范围内）：</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、城边村主巷道除雪及其它村应急除雪及消冰；</w:t>
            </w:r>
          </w:p>
          <w:p>
            <w:pPr>
              <w:pStyle w:val="null5"/>
              <w:jc w:val="both"/>
            </w:pPr>
            <w:r>
              <w:rPr>
                <w:rFonts w:ascii="仿宋_GB2312" w:hAnsi="仿宋_GB2312" w:cs="仿宋_GB2312" w:eastAsia="仿宋_GB2312"/>
                <w:sz w:val="21"/>
              </w:rPr>
              <w:t>2</w:t>
            </w:r>
            <w:r>
              <w:rPr>
                <w:rFonts w:ascii="仿宋_GB2312" w:hAnsi="仿宋_GB2312" w:cs="仿宋_GB2312" w:eastAsia="仿宋_GB2312"/>
                <w:sz w:val="21"/>
              </w:rPr>
              <w:t>、其他应急保障工作（</w:t>
            </w:r>
            <w:r>
              <w:rPr>
                <w:rFonts w:ascii="仿宋_GB2312" w:hAnsi="仿宋_GB2312" w:cs="仿宋_GB2312" w:eastAsia="仿宋_GB2312"/>
                <w:sz w:val="21"/>
              </w:rPr>
              <w:t>109</w:t>
            </w:r>
            <w:r>
              <w:rPr>
                <w:rFonts w:ascii="仿宋_GB2312" w:hAnsi="仿宋_GB2312" w:cs="仿宋_GB2312" w:eastAsia="仿宋_GB2312"/>
                <w:sz w:val="21"/>
              </w:rPr>
              <w:t>、</w:t>
            </w:r>
            <w:r>
              <w:rPr>
                <w:rFonts w:ascii="仿宋_GB2312" w:hAnsi="仿宋_GB2312" w:cs="仿宋_GB2312" w:eastAsia="仿宋_GB2312"/>
                <w:sz w:val="21"/>
              </w:rPr>
              <w:t>209</w:t>
            </w:r>
            <w:r>
              <w:rPr>
                <w:rFonts w:ascii="仿宋_GB2312" w:hAnsi="仿宋_GB2312" w:cs="仿宋_GB2312" w:eastAsia="仿宋_GB2312"/>
                <w:sz w:val="21"/>
              </w:rPr>
              <w:t>沿线卫生拾捡等工作）。</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rPr>
              <w:t>配备要求</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、工作人员需配备统一的工作服包括：春秋服、冬服、夏服。</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、组建环卫监督队对环境整治工作开展不定期监督，确保垃圾及时清扫。</w:t>
            </w:r>
          </w:p>
          <w:p>
            <w:pPr>
              <w:pStyle w:val="null5"/>
              <w:jc w:val="both"/>
            </w:pPr>
            <w:r>
              <w:rPr>
                <w:rFonts w:ascii="仿宋_GB2312" w:hAnsi="仿宋_GB2312" w:cs="仿宋_GB2312" w:eastAsia="仿宋_GB2312"/>
                <w:sz w:val="21"/>
              </w:rPr>
              <w:t>3</w:t>
            </w:r>
            <w:r>
              <w:rPr>
                <w:rFonts w:ascii="仿宋_GB2312" w:hAnsi="仿宋_GB2312" w:cs="仿宋_GB2312" w:eastAsia="仿宋_GB2312"/>
                <w:sz w:val="21"/>
              </w:rPr>
              <w:t>、城边</w:t>
            </w:r>
            <w:r>
              <w:rPr>
                <w:rFonts w:ascii="仿宋_GB2312" w:hAnsi="仿宋_GB2312" w:cs="仿宋_GB2312" w:eastAsia="仿宋_GB2312"/>
                <w:sz w:val="21"/>
              </w:rPr>
              <w:t>5</w:t>
            </w:r>
            <w:r>
              <w:rPr>
                <w:rFonts w:ascii="仿宋_GB2312" w:hAnsi="仿宋_GB2312" w:cs="仿宋_GB2312" w:eastAsia="仿宋_GB2312"/>
                <w:sz w:val="21"/>
              </w:rPr>
              <w:t>个村委下辖共计</w:t>
            </w:r>
            <w:r>
              <w:rPr>
                <w:rFonts w:ascii="仿宋_GB2312" w:hAnsi="仿宋_GB2312" w:cs="仿宋_GB2312" w:eastAsia="仿宋_GB2312"/>
                <w:sz w:val="21"/>
              </w:rPr>
              <w:t>34</w:t>
            </w:r>
            <w:r>
              <w:rPr>
                <w:rFonts w:ascii="仿宋_GB2312" w:hAnsi="仿宋_GB2312" w:cs="仿宋_GB2312" w:eastAsia="仿宋_GB2312"/>
                <w:sz w:val="21"/>
              </w:rPr>
              <w:t>个自然村，每个自然村至少配置</w:t>
            </w:r>
            <w:r>
              <w:rPr>
                <w:rFonts w:ascii="仿宋_GB2312" w:hAnsi="仿宋_GB2312" w:cs="仿宋_GB2312" w:eastAsia="仿宋_GB2312"/>
                <w:sz w:val="21"/>
              </w:rPr>
              <w:t>2</w:t>
            </w:r>
            <w:r>
              <w:rPr>
                <w:rFonts w:ascii="仿宋_GB2312" w:hAnsi="仿宋_GB2312" w:cs="仿宋_GB2312" w:eastAsia="仿宋_GB2312"/>
                <w:sz w:val="21"/>
              </w:rPr>
              <w:t>名保洁人员和</w:t>
            </w:r>
            <w:r>
              <w:rPr>
                <w:rFonts w:ascii="仿宋_GB2312" w:hAnsi="仿宋_GB2312" w:cs="仿宋_GB2312" w:eastAsia="仿宋_GB2312"/>
                <w:sz w:val="21"/>
              </w:rPr>
              <w:t>1</w:t>
            </w:r>
            <w:r>
              <w:rPr>
                <w:rFonts w:ascii="仿宋_GB2312" w:hAnsi="仿宋_GB2312" w:cs="仿宋_GB2312" w:eastAsia="仿宋_GB2312"/>
                <w:sz w:val="21"/>
              </w:rPr>
              <w:t>辆三轮车。</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环境卫生检查与处罚方式签订合同时另行约定。</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整体运营实施方案</w:t>
            </w:r>
          </w:p>
        </w:tc>
        <w:tc>
          <w:tcPr>
            <w:tcW w:type="dxa" w:w="3115"/>
          </w:tcPr>
          <w:p>
            <w:pPr>
              <w:pStyle w:val="null5"/>
              <w:jc w:val="left"/>
            </w:pPr>
            <w:r>
              <w:rPr>
                <w:rFonts w:ascii="仿宋_GB2312" w:hAnsi="仿宋_GB2312" w:cs="仿宋_GB2312" w:eastAsia="仿宋_GB2312"/>
              </w:rPr>
              <w:t>根据投标人针对本项目提供的整体运营实施方案：内容应包括但不限于①环卫作业方案②环卫作业的机械化和精细化方案③垃圾收集、清运方案④环卫设施配套管理、运行维护方案等4个方面进行综合评审。以上方面每有一项最多得4分，每个方面内容存在缺陷的最多扣3分，本项最多得16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安全保障方案</w:t>
            </w:r>
          </w:p>
        </w:tc>
        <w:tc>
          <w:tcPr>
            <w:tcW w:type="dxa" w:w="3115"/>
          </w:tcPr>
          <w:p>
            <w:pPr>
              <w:pStyle w:val="null5"/>
              <w:jc w:val="left"/>
            </w:pPr>
            <w:r>
              <w:rPr>
                <w:rFonts w:ascii="仿宋_GB2312" w:hAnsi="仿宋_GB2312" w:cs="仿宋_GB2312" w:eastAsia="仿宋_GB2312"/>
              </w:rPr>
              <w:t>根据投标人针对本项目提供的安全保障方案：内容应包括但不限于①作业人员和车辆设备安全管理方案②安全培训方案③安全作业管理制度等3个方面进行综合评审。以上方面每有一项最多得4分，每个方面内容存在缺陷的最多扣3分，本项最多得12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特殊季节服务方案</w:t>
            </w:r>
          </w:p>
        </w:tc>
        <w:tc>
          <w:tcPr>
            <w:tcW w:type="dxa" w:w="3115"/>
          </w:tcPr>
          <w:p>
            <w:pPr>
              <w:pStyle w:val="null5"/>
              <w:jc w:val="left"/>
            </w:pPr>
            <w:r>
              <w:rPr>
                <w:rFonts w:ascii="仿宋_GB2312" w:hAnsi="仿宋_GB2312" w:cs="仿宋_GB2312" w:eastAsia="仿宋_GB2312"/>
              </w:rPr>
              <w:t>根据投标人针对本项目提供的特殊季节服务方案：内容应包括但不限于①冬季清雪除冰方案②雨季清理泥沙、排水防涝方案③季节性落叶、毛絮清理方案等3个方面进行综合评审。以上方面每有一项最多得4分，每个方面内容存在缺陷的最多扣3分，本项最多得12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应急措施方案</w:t>
            </w:r>
          </w:p>
        </w:tc>
        <w:tc>
          <w:tcPr>
            <w:tcW w:type="dxa" w:w="3115"/>
          </w:tcPr>
          <w:p>
            <w:pPr>
              <w:pStyle w:val="null5"/>
              <w:jc w:val="left"/>
            </w:pPr>
            <w:r>
              <w:rPr>
                <w:rFonts w:ascii="仿宋_GB2312" w:hAnsi="仿宋_GB2312" w:cs="仿宋_GB2312" w:eastAsia="仿宋_GB2312"/>
              </w:rPr>
              <w:t>根据供应商针对本项目提供的项目应急措施方案：内容应包括但不限于①重大活动应急保障方案②迎检应急保障方案③其他在实施过程中可能发生应急方案④应急物资储备方案等4个方面进行综合评审。以上方面每有一项最多得3分，每个方面内容存在缺陷的最多扣2分，本项最多得12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人员管理方案</w:t>
            </w:r>
          </w:p>
        </w:tc>
        <w:tc>
          <w:tcPr>
            <w:tcW w:type="dxa" w:w="3115"/>
          </w:tcPr>
          <w:p>
            <w:pPr>
              <w:pStyle w:val="null5"/>
              <w:jc w:val="left"/>
            </w:pPr>
            <w:r>
              <w:rPr>
                <w:rFonts w:ascii="仿宋_GB2312" w:hAnsi="仿宋_GB2312" w:cs="仿宋_GB2312" w:eastAsia="仿宋_GB2312"/>
              </w:rPr>
              <w:t>根据供应商针对本项目提供的人员管理方案：内容应包括但不限于①人员管理制度②作业人员配置③作业人员保障制度以及福利制度等3个方面进行综合评审。以上方面每有一项最多得4分，每个方面内容存在缺陷的最多扣3分，本项最多得12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车辆机械设备管理方案</w:t>
            </w:r>
          </w:p>
        </w:tc>
        <w:tc>
          <w:tcPr>
            <w:tcW w:type="dxa" w:w="3115"/>
          </w:tcPr>
          <w:p>
            <w:pPr>
              <w:pStyle w:val="null5"/>
              <w:jc w:val="left"/>
            </w:pPr>
            <w:r>
              <w:rPr>
                <w:rFonts w:ascii="仿宋_GB2312" w:hAnsi="仿宋_GB2312" w:cs="仿宋_GB2312" w:eastAsia="仿宋_GB2312"/>
              </w:rPr>
              <w:t>根据供应商针对本项目提供的车辆机械设备配置方案：内容应包括但不限于①车辆机械设备配置及管理方案②车辆保险制度③环卫设备维修保养流程及管理方案④设备设施故障维修应急预案等4个方面进行综合评审。以上方面每有一项最多得4分，每个方面内容存在缺陷的最多扣3分，本项最多得16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完成过的类似项目业绩，每提供一项得5分，最多得10分。应提供佐证材料（如中标通知书或合同）</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