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武川县西乌兰不浪镇2025年中央财政衔接资金以工代赈项目东后河村委会二号地村至东柜村通村道路工程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武川县西乌兰不浪镇人民政府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瑞博工程项目管理有限公司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150125-RBXA-CS-20250002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瑞博工程项目管理有限公司</w:t>
      </w:r>
      <w:r>
        <w:rPr>
          <w:rFonts w:ascii="仿宋_GB2312" w:hAnsi="仿宋_GB2312" w:cs="仿宋_GB2312" w:eastAsia="仿宋_GB2312"/>
        </w:rPr>
        <w:t xml:space="preserve"> 受 </w:t>
      </w:r>
      <w:r>
        <w:rPr>
          <w:rFonts w:ascii="仿宋_GB2312" w:hAnsi="仿宋_GB2312" w:cs="仿宋_GB2312" w:eastAsia="仿宋_GB2312"/>
        </w:rPr>
        <w:t>武川县西乌兰不浪镇人民政府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武川县西乌兰不浪镇2025年中央财政衔接资金以工代赈项目东后河村委会二号地村至东柜村通村道路工程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武川县西乌兰不浪镇2025年中央财政衔接资金以工代赈项目东后河村委会二号地村至东柜村通村道路工程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150125-RBXA-CS-20250002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武政采计划[2025]00025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3,388,657.00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武川县西乌兰不浪镇2025年中央财政衔接资金以工代赈项目东后河村委会二号地村至东柜村通村道路工程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3,388,657.00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要求：（1）必须具有建设行政主管部门颁发的市政公用工程施工总承包三级（含）以上资质（依据《住房和城乡建设部关于印发建设工程企业资质管理制度改革方案的通知（建市[2020]94号）》的规定），且具备有效的企业安全生产许可证； (2)、拟派本项目负责人须具有市政公用工程专业二级（含）以上建造师注册证书，且具有有效的安全生产考核合格证书；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瑞博工程项目管理有限公司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内蒙古自治区呼和浩特市赛罕区银河南街保全庄市场外东侧东北角瑞博项管二楼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18586178173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武川县西乌兰不浪镇人民政府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西乌兰不浪村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王雨暄</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13214089936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代理服务费收费标准：参照原《内蒙古自治区建设工程招标代理服务收费指导意见》内工建协[2022]34号文件规定的标准收费，下浮30%.</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武川县西乌兰不浪镇人民政府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瑞博工程项目管理有限公司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新建通村道路，路线总长3.865公里，,路基宽4.5m、3.5m；路面宽度为4m、3m，两侧各设置0.25m的土路肩，全线均为水泥路面。</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本项目计划于2025年3月开工，6月完工，工期3个月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内蒙古呼和浩特市武川县西乌兰不浪镇东后河村委会二号地村、东柜村</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1、签订合同项目实施后支付 30%，达到付款条件起10日，支付合同总金额的30.00%</w:t>
            </w:r>
          </w:p>
          <w:p>
            <w:pPr>
              <w:pStyle w:val="null5"/>
              <w:jc w:val="left"/>
            </w:pPr>
            <w:r>
              <w:rPr>
                <w:rFonts w:ascii="仿宋_GB2312" w:hAnsi="仿宋_GB2312" w:cs="仿宋_GB2312" w:eastAsia="仿宋_GB2312"/>
              </w:rPr>
              <w:t>2、按月进度付款，工程竣工合格后支付到合同额的90%，达到付款条件起10日，支付合同总金额的60.00%</w:t>
            </w:r>
          </w:p>
          <w:p>
            <w:pPr>
              <w:pStyle w:val="null5"/>
              <w:jc w:val="left"/>
            </w:pPr>
            <w:r>
              <w:rPr>
                <w:rFonts w:ascii="仿宋_GB2312" w:hAnsi="仿宋_GB2312" w:cs="仿宋_GB2312" w:eastAsia="仿宋_GB2312"/>
              </w:rPr>
              <w:t>3、结算审计后支付余款，达到付款条件起10日，支付合同总金额的10.00%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标的名称：武川县西乌兰不浪镇2025年中央财政衔接资金以工代赈项目东后河村委会二号地村至东柜村通村道路工程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无</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其他要求</w:t>
            </w:r>
          </w:p>
        </w:tc>
        <w:tc>
          <w:tcPr>
            <w:tcW w:type="dxa" w:w="4984"/>
          </w:tcPr>
          <w:p>
            <w:pPr>
              <w:pStyle w:val="null5"/>
              <w:jc w:val="left"/>
            </w:pPr>
            <w:r>
              <w:rPr>
                <w:rFonts w:ascii="仿宋_GB2312" w:hAnsi="仿宋_GB2312" w:cs="仿宋_GB2312" w:eastAsia="仿宋_GB2312"/>
              </w:rPr>
              <w:t>（1）必须具有建设行政主管部门颁发的市政公用工程施工总承包三级（含）以上资质（依据《住房和城乡建设部关于印发建设工程企业资质管理制度改革方案的通知（建市[2020]94号）》的规定），且具备有效的企业安全生产许可证； (2)、拟派本项目负责人须具有市政公用工程专业二级（含）以上建造师注册证书，且具有有效的安全生产考核合格证书；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与技术措施应内容详细，响应技术要求全部内容，方案内容清楚，专业性强。施工方案与技术措施内容应包括但不限于①施工方案②技术措施③雨季等其他恶劣天气施工④所使用的技术标准和规范⑤新材料新工艺的应用，以上五项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应满足招标文件要求，质量控制计划完整、岗位责任明确。质量管理体系与措施内容应包括但不限于①质量控制计划②岗位责任③材料采购④分项措施技术措施；以上五项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安全文明体系与措施应满足采购文件要求，安全管理体系健全、安全管理体系计划内容完善、合理。安全管理体系与措施内容应包括但不限于①安全管理体系②防护措施③单位工程安全防护方案④安全文明施工制度⑤安全文明施工保障措施；以上五项内容完整、不存在瑕疵，得5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应满足招标文件要求，合理安排。工程进度计划与措施内容应包括但不限于①施工进度计划②进度保障措施；以上两项内容完整、不存在瑕疵，得4分；每缺一项扣2分，存在瑕疵的一项扣1分。（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资源配备计划齐全，其中主要机械设备、施工机具、架料、模板及安全防护用品应完全满足项目进度及施工管理情况。资源配备计划内容应包括但不限于①机械设备②劳动力③施工机具、架料、模板④安全防护用品；以上四项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人员培训方案应满足采购文件要求，培训方案内容完善、合理。人员培训方案内容应包括但不限于①培训的计划②培训的目标③培训的内容；以上三项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劳务报酬发放方案</w:t>
            </w:r>
          </w:p>
        </w:tc>
        <w:tc>
          <w:tcPr>
            <w:tcW w:type="dxa" w:w="3115"/>
          </w:tcPr>
          <w:p>
            <w:pPr>
              <w:pStyle w:val="null5"/>
              <w:jc w:val="left"/>
            </w:pPr>
            <w:r>
              <w:rPr>
                <w:rFonts w:ascii="仿宋_GB2312" w:hAnsi="仿宋_GB2312" w:cs="仿宋_GB2312" w:eastAsia="仿宋_GB2312"/>
              </w:rPr>
              <w:t>劳务报酬发放方案应满足采购文件要求，劳务报酬发放方案内容完善、合理。方案内容应包括但不限于①报酬计算方式②发放周期设置③数据准确性保障④支付误差处理；以上四项内容完整、不存在瑕疵，得4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环境保护管理体系与措施应健全，符合招标文件及国家标准。环境管理体系与措施内容应包括但不限于①环境保护管理体系②污染物处理及排放符合国家及地方环境保护标准③技术及管理措施；以上三项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供应商提交的应急方案进行综合评分（包括但不限于以下内容）：①紧急事件的处理方案；②应急管理制度。以上两项内容完整、不存在瑕疵，得4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企业工程业绩</w:t>
            </w:r>
          </w:p>
        </w:tc>
        <w:tc>
          <w:tcPr>
            <w:tcW w:type="dxa" w:w="3115"/>
          </w:tcPr>
          <w:p>
            <w:pPr>
              <w:pStyle w:val="null5"/>
              <w:jc w:val="left"/>
            </w:pPr>
            <w:r>
              <w:rPr>
                <w:rFonts w:ascii="仿宋_GB2312" w:hAnsi="仿宋_GB2312" w:cs="仿宋_GB2312" w:eastAsia="仿宋_GB2312"/>
              </w:rPr>
              <w:t>2022年1月1日至投标截止时间,完成水利工程施工业绩，每有一项得2.5分，本项最多得5分。 （投标文件需附施工合同的原件扫描件或复印件，日期以合同签订日期为准）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