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呼和浩特经济技术开发区低空经济发展规划及白塔机场片区更新发展空间规划采购项目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呼和浩特经济技术开发区管理委员会投资促进局（政务服务局）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中益招标有限公司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150174-ZYZBNM-CS-20250001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中益招标有限公司</w:t>
      </w:r>
      <w:r>
        <w:rPr>
          <w:rFonts w:ascii="仿宋_GB2312" w:hAnsi="仿宋_GB2312" w:cs="仿宋_GB2312" w:eastAsia="仿宋_GB2312"/>
        </w:rPr>
        <w:t xml:space="preserve"> 受 </w:t>
      </w:r>
      <w:r>
        <w:rPr>
          <w:rFonts w:ascii="仿宋_GB2312" w:hAnsi="仿宋_GB2312" w:cs="仿宋_GB2312" w:eastAsia="仿宋_GB2312"/>
        </w:rPr>
        <w:t>呼和浩特经济技术开发区管理委员会投资促进局（政务服务局）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呼和浩特经济技术开发区低空经济发展规划及白塔机场片区更新发展空间规划采购项目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呼和浩特经济技术开发区低空经济发展规划及白塔机场片区更新发展空间规划采购项目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150174-ZYZBNM-CS-20250001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呼开政采计划[2025]00025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低空经济发展规划及白塔机场片区更新发展空间规划</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中益招标有限公司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内蒙古自治区呼和浩特市新城区科尔沁北路绿地智海大厦A3座10层1001-1室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韩刚、韩素红、施昱良、李月兰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0471-3298913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呼和浩特经济技术开发区管理委员会投资促进局（政务服务局）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呼和浩特经济技术开发区管理委员会</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010080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杨海燕</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8127767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代理服务费收费标准：参照内工建协【2022】34号文件收费标准执行</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呼和浩特经济技术开发区管理委员会投资促进局（政务服务局）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中益招标有限公司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为贯彻落实好国家、自治区和呼和浩特市相关政策要求，结合呼和浩特经开区经济产业发展实际和发展目标，扎实推动经开区经济高质量发展，提供低空发展规划及白塔机场更新发展空间规划服务。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合同签订之日起3个月内完成项目成果文件交付（包含成果文编制、修订补充及审核）</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内蒙古自治区呼和浩特市经济技术开发区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1、项目成果文件编制完成后提交采购人并开具相应发票，达到付款条件起5日，支付合同总金额的50.00%</w:t>
            </w:r>
          </w:p>
          <w:p>
            <w:pPr>
              <w:pStyle w:val="null5"/>
              <w:jc w:val="left"/>
            </w:pPr>
            <w:r>
              <w:rPr>
                <w:rFonts w:ascii="仿宋_GB2312" w:hAnsi="仿宋_GB2312" w:cs="仿宋_GB2312" w:eastAsia="仿宋_GB2312"/>
              </w:rPr>
              <w:t>2、项目成果文件通过采购人及相关主管部门审核并开具相应发票，达到付款条件起5日，支付合同总金额的50.00%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标的名称：低空经济发展规划及白塔机场片区更新发展空间规划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outlineLvl w:val="2"/>
            </w:pPr>
            <w:r>
              <w:rPr>
                <w:rFonts w:ascii="仿宋_GB2312" w:hAnsi="仿宋_GB2312" w:cs="仿宋_GB2312" w:eastAsia="仿宋_GB2312"/>
                <w:sz w:val="24"/>
                <w:b/>
                <w:shd w:fill="FFFFFF" w:val="clear"/>
              </w:rPr>
              <w:t>1、项目内容</w:t>
            </w:r>
          </w:p>
          <w:p>
            <w:pPr>
              <w:pStyle w:val="null5"/>
              <w:jc w:val="both"/>
              <w:outlineLvl w:val="2"/>
            </w:pPr>
            <w:r>
              <w:rPr>
                <w:rFonts w:ascii="仿宋_GB2312" w:hAnsi="仿宋_GB2312" w:cs="仿宋_GB2312" w:eastAsia="仿宋_GB2312"/>
                <w:sz w:val="24"/>
                <w:b/>
                <w:color w:val="000000"/>
                <w:shd w:fill="FFFFFF" w:val="clear"/>
              </w:rPr>
              <w:t>项目包含2项内容，一是呼和浩特经济技术开发区低空经济发展规划，二是呼和浩特经济技术开发区白塔机场片区更新发展空间规划。</w:t>
            </w:r>
          </w:p>
          <w:p>
            <w:pPr>
              <w:pStyle w:val="null5"/>
              <w:jc w:val="both"/>
              <w:outlineLvl w:val="2"/>
            </w:pPr>
            <w:r>
              <w:rPr>
                <w:rFonts w:ascii="仿宋_GB2312" w:hAnsi="仿宋_GB2312" w:cs="仿宋_GB2312" w:eastAsia="仿宋_GB2312"/>
                <w:sz w:val="24"/>
                <w:b/>
                <w:color w:val="000000"/>
                <w:shd w:fill="FFFFFF" w:val="clear"/>
              </w:rPr>
              <w:t>呼和浩特经济技术开发区低空经济发展规划具体服务要求包括：</w:t>
            </w:r>
            <w:r>
              <w:rPr>
                <w:rFonts w:ascii="仿宋_GB2312" w:hAnsi="仿宋_GB2312" w:cs="仿宋_GB2312" w:eastAsia="仿宋_GB2312"/>
                <w:sz w:val="24"/>
                <w:b/>
                <w:color w:val="000000"/>
                <w:shd w:fill="FFFFFF" w:val="clear"/>
              </w:rPr>
              <w:t>1.研究中国低空经济发展现状，包括中国低空经济发展历程、发展格局、发展思路、发展趋势、产业链重点环节及发展特征、典型案例对标分析。2.明确呼和浩特经开区发展低空经济的优势和挑战，呼和浩特经开区和呼市其他区域的发展潜力对比，低空经济产业发展思路，研判经开区发展低空经济的重点发展细分方向及发展策略。3.提出呼和浩特经开区低空经济的发展路径，包括重点任务、发展时序、空间布局、项目落位建议，并基于产业分析为白塔机场更新改造提出定位及策略的指导意见。4. 结合目前低空经济市场格局和企业发展情况进行细致分析，并对重点企业情况进行介绍。5.编制完整成果文件并移交。</w:t>
            </w:r>
          </w:p>
          <w:p>
            <w:pPr>
              <w:pStyle w:val="null5"/>
              <w:jc w:val="both"/>
              <w:outlineLvl w:val="2"/>
            </w:pPr>
            <w:r>
              <w:rPr>
                <w:rFonts w:ascii="仿宋_GB2312" w:hAnsi="仿宋_GB2312" w:cs="仿宋_GB2312" w:eastAsia="仿宋_GB2312"/>
                <w:sz w:val="24"/>
                <w:b/>
                <w:color w:val="000000"/>
                <w:shd w:fill="FFFFFF" w:val="clear"/>
              </w:rPr>
              <w:t>呼和浩特经济技术开发区白塔机场片区更新发展空间规划具体服务要求包括：</w:t>
            </w:r>
            <w:r>
              <w:rPr>
                <w:rFonts w:ascii="仿宋_GB2312" w:hAnsi="仿宋_GB2312" w:cs="仿宋_GB2312" w:eastAsia="仿宋_GB2312"/>
                <w:sz w:val="24"/>
                <w:b/>
                <w:color w:val="000000"/>
                <w:shd w:fill="FFFFFF" w:val="clear"/>
              </w:rPr>
              <w:t>1.梳理白塔机场片区存量空间现状。重点包括白塔机场跑道、国内及国际航站楼、机库、货站及周边保障单位用房等，形成对白塔机场片区存量空间基本范围、现状功能、建筑物质量、空间特点等信息的全面梳理。2.明确白塔机场片区未来发展定位及业态组合。从全局角度和区域功能角度，统筹规划白塔机场片区未来发展定位。谋划白塔机场片区的主要产业发展思路及产业方向，策划白塔机场片区产业发展体系。 3.优化白塔机场片区产业空间布局。以存量提升为核心原则，对白塔机场区域进行再开发。在摸清该区域可用资源底数的基础上，聚焦低空经济及通航发展功能，合理谋划功能布局。4.策划白塔机场片区再利用方案。结合产业特征及白塔机场片区现有设施条件，科学谋划白塔机场片区整体再利用方案，提供相关发展建议。5.</w:t>
            </w:r>
            <w:r>
              <w:rPr>
                <w:rFonts w:ascii="仿宋_GB2312" w:hAnsi="仿宋_GB2312" w:cs="仿宋_GB2312" w:eastAsia="仿宋_GB2312"/>
                <w:sz w:val="24"/>
                <w:b/>
                <w:color w:val="000000"/>
                <w:shd w:fill="FFFFFF" w:val="clear"/>
              </w:rPr>
              <w:t>编制完整成果文件并移交</w:t>
            </w:r>
            <w:r>
              <w:rPr>
                <w:rFonts w:ascii="仿宋_GB2312" w:hAnsi="仿宋_GB2312" w:cs="仿宋_GB2312" w:eastAsia="仿宋_GB2312"/>
                <w:sz w:val="24"/>
                <w:b/>
                <w:color w:val="000000"/>
                <w:shd w:fill="FFFFFF" w:val="clear"/>
              </w:rPr>
              <w:t>。</w:t>
            </w:r>
          </w:p>
          <w:p>
            <w:pPr>
              <w:pStyle w:val="null5"/>
              <w:jc w:val="both"/>
              <w:outlineLvl w:val="2"/>
            </w:pPr>
            <w:r>
              <w:rPr>
                <w:rFonts w:ascii="仿宋_GB2312" w:hAnsi="仿宋_GB2312" w:cs="仿宋_GB2312" w:eastAsia="仿宋_GB2312"/>
                <w:sz w:val="24"/>
                <w:b/>
                <w:color w:val="000000"/>
                <w:shd w:fill="FFFFFF" w:val="clear"/>
              </w:rPr>
              <w:t>2、项目成果文件</w:t>
            </w:r>
          </w:p>
          <w:p>
            <w:pPr>
              <w:pStyle w:val="null5"/>
              <w:jc w:val="both"/>
              <w:outlineLvl w:val="2"/>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呼和浩特经济技术开发区低空经济发展规划及白塔机场片区更新发展空间规划采购项目</w:t>
            </w:r>
            <w:r>
              <w:rPr>
                <w:rFonts w:ascii="仿宋_GB2312" w:hAnsi="仿宋_GB2312" w:cs="仿宋_GB2312" w:eastAsia="仿宋_GB2312"/>
                <w:sz w:val="24"/>
                <w:b/>
                <w:color w:val="000000"/>
                <w:shd w:fill="FFFFFF" w:val="clear"/>
              </w:rPr>
              <w:t>”成果文件需包含：市场调研、规划文本、图文图表、专题报告等纸质材料及PPT或视频等电子材料</w:t>
            </w:r>
            <w:r>
              <w:rPr>
                <w:rFonts w:ascii="仿宋_GB2312" w:hAnsi="仿宋_GB2312" w:cs="仿宋_GB2312" w:eastAsia="仿宋_GB2312"/>
                <w:sz w:val="24"/>
                <w:b/>
                <w:color w:val="000000"/>
                <w:shd w:fill="FFFFFF" w:val="clear"/>
              </w:rPr>
              <w:t>。</w:t>
            </w:r>
          </w:p>
          <w:p>
            <w:pPr>
              <w:pStyle w:val="null5"/>
              <w:jc w:val="left"/>
            </w:pPr>
            <w:r>
              <w:rPr>
                <w:rFonts w:ascii="仿宋_GB2312" w:hAnsi="仿宋_GB2312" w:cs="仿宋_GB2312" w:eastAsia="仿宋_GB2312"/>
                <w:sz w:val="24"/>
                <w:b/>
                <w:color w:val="000000"/>
                <w:shd w:fill="FFFFFF" w:val="clear"/>
              </w:rPr>
              <w:t>（2）成果文件数量：移交最终成果文件数量不少于5份（纸质材料及电子材料）</w:t>
            </w:r>
          </w:p>
          <w:p>
            <w:pPr>
              <w:pStyle w:val="null5"/>
              <w:jc w:val="left"/>
            </w:pPr>
            <w:r>
              <w:rPr>
                <w:rFonts w:ascii="仿宋_GB2312" w:hAnsi="仿宋_GB2312" w:cs="仿宋_GB2312" w:eastAsia="仿宋_GB2312"/>
                <w:sz w:val="24"/>
                <w:b/>
                <w:color w:val="000000"/>
                <w:shd w:fill="FFFFFF" w:val="clear"/>
              </w:rPr>
              <w:t>（3）成果文件移交要求：纸质成果文件需胶装成册（包含封面、目录、编制单位等基础信息），电子材料需提供纸质材料的彩色扫描件及成果文件汇报材料（电子材料需光盘刻录及U盘存储）</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2023年度经审计的财务审计报告或投标截止时间前1年（2024年1月至今）开户银行出具的资信证明或具有良好的商业信誉和健全的财务会计制度承诺函（格式自拟）；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提供近1年（2024年1月至今）任意三个月为企业员工缴纳社会保险资金的凭证和近1年（2024年1月至今）任意三个月的纳税证明或依法缴纳税收和社会保障资金承诺函（格式自拟）（注：零纳税提供零纳税申报表。新成立企业纳税或缴纳的社保不足1个月的，需提供相关证明或说明文件）</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审查供应商提供的具有履行合同所必需的设备和专业技术能力的书面声明。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供应商能够结合本项目实际情况，（1）根据开发区低空经济发展规划要求提出方案，方案内容应包含：1.项目背景；2.发展格局；3.产业链重点环节；4.发展特征；5.发展思路；6.实施路径等。本项最高得18分，每缺少一项内容扣3分，每项内容中存在缺陷或不足、内容不完整或不符合项目实际情况的最多扣3分。未提供不得分。（2）根据白塔机场片区更新发展空间规划的要求提出方案，方案内容应包含：1.机场片区存量空间现状规划；2.未来发展定位及业态组合；3.未来发展定位；4.发展思路及产业方向；5.产业空间布局；6.再利用方案及发展建议等。本项最高得18分，每缺少一项内容扣3分，每项内容中存在缺陷或不足、内容不完整或不符合项目实际情况的最多扣3分。未提供不得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36.00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思路方案</w:t>
            </w:r>
          </w:p>
        </w:tc>
        <w:tc>
          <w:tcPr>
            <w:tcW w:type="dxa" w:w="3115"/>
          </w:tcPr>
          <w:p>
            <w:pPr>
              <w:pStyle w:val="null5"/>
              <w:jc w:val="left"/>
            </w:pPr>
            <w:r>
              <w:rPr>
                <w:rFonts w:ascii="仿宋_GB2312" w:hAnsi="仿宋_GB2312" w:cs="仿宋_GB2312" w:eastAsia="仿宋_GB2312"/>
              </w:rPr>
              <w:t>供应商应充分考虑实际条件，对开发区低空经济及白塔机场片区发展规划基础现状、发展目标、重点任务、重点项目及保障措施等提出实质性见解，摸清现阶段发展现状和短板不足，聚焦产业特点，确保工作目标科学合理，实施模式、运维方案和保障措施有效有力。包括但不限于：1.实施方案总览；2.调研思路，调研方法；3.定性定量分析、案例分析、对标研究等。本项最高得9分，每缺少一项内容扣3分，每项内容中存在缺陷或不足、内容不完整或不符合项目实际情况的最多扣3分。未提供不得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w:t>
            </w:r>
          </w:p>
        </w:tc>
        <w:tc>
          <w:tcPr>
            <w:tcW w:type="dxa" w:w="3115"/>
          </w:tcPr>
          <w:p>
            <w:pPr>
              <w:pStyle w:val="null5"/>
              <w:jc w:val="left"/>
            </w:pPr>
            <w:r>
              <w:rPr>
                <w:rFonts w:ascii="仿宋_GB2312" w:hAnsi="仿宋_GB2312" w:cs="仿宋_GB2312" w:eastAsia="仿宋_GB2312"/>
              </w:rPr>
              <w:t>供应商须针对本项目实际需求提供详细的进度计划与措施，包括但不限于：1.工作计划及进度；2.各工作节点保障措施；3.进度风险控制措施等。本项最高得9分，每缺少一项内容扣3分，每项内容中存在缺陷或不足、内容不完整或不符合项目实际情况的最多扣3分。未提供不得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投标人提供的项目质量保证措施进行评分，包括但不限于：1.服务成果；2.服务质量承诺；3.质量管理措施；4.保密工作方案及措施。本项最高得12分，每缺少一项内容扣3分，每项内容中存在缺陷或不足、内容不完整或不符合项目实际情况的最多扣3分。未提供不得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针对项目特点，对后续服务工作安排情况，包括但不限于：1.售后服务承诺；2.售后服务方案等。本项最高得4分，每缺少一项内容扣2分，每项内容中存在缺陷或不足、内容不完整或不符合项目实际情况的最多扣2分。未提供不得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近三年（自2022年1月1日以来至响应文件递交截止日期止），供应商完成过同类项目，每提供一项得2分，最多得10分。（注：以合同协议书关键页或成交通知书为准。）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团队成员</w:t>
            </w:r>
          </w:p>
        </w:tc>
        <w:tc>
          <w:tcPr>
            <w:tcW w:type="dxa" w:w="3115"/>
          </w:tcPr>
          <w:p>
            <w:pPr>
              <w:pStyle w:val="null5"/>
              <w:jc w:val="left"/>
            </w:pPr>
            <w:r>
              <w:rPr>
                <w:rFonts w:ascii="仿宋_GB2312" w:hAnsi="仿宋_GB2312" w:cs="仿宋_GB2312" w:eastAsia="仿宋_GB2312"/>
              </w:rPr>
              <w:t>（1）项目负责人：具备高级工程师（或以上）职称并且具备咨询工程师(投资)登记证书的，得4分。（2）项目组成员（不含项目负责人）：每提供一名中级工程师（或以上）职称或具备咨询工程师(投资)登记证书的，得2分；最高得6分。注：本项最多得10分，需提供职称证书、注册咨询师登记证书扫描件，不提供不得分。同一项目人员得分不重复计算。</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6.00%</w:t>
            </w:r>
          </w:p>
        </w:tc>
        <w:tc>
          <w:tcPr>
            <w:tcW w:type="dxa" w:w="2492"/>
          </w:tcPr>
          <w:p>
            <w:pPr>
              <w:pStyle w:val="null5"/>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