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2025年国道110线K651+700-K668+104段环卫保洁服务采购项目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包头市公路事业发展中心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内蒙古晔利项目管理有限公司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BTZCS-C-F-250011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内蒙古晔利项目管理有限公司</w:t>
      </w:r>
      <w:r>
        <w:rPr>
          <w:rFonts w:ascii="仿宋_GB2312" w:hAnsi="仿宋_GB2312" w:cs="仿宋_GB2312" w:eastAsia="仿宋_GB2312"/>
        </w:rPr>
        <w:t xml:space="preserve"> 受 </w:t>
      </w:r>
      <w:r>
        <w:rPr>
          <w:rFonts w:ascii="仿宋_GB2312" w:hAnsi="仿宋_GB2312" w:cs="仿宋_GB2312" w:eastAsia="仿宋_GB2312"/>
        </w:rPr>
        <w:t>包头市公路事业发展中心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2025年国道110线K651+700-K668+104段环卫保洁服务采购项目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2025年国道110线K651+700-K668+104段环卫保洁服务采购项目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BTZCS-C-F-250011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包政采计划[2025]00180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1,123,000.00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2025年国道110线K651+700-K668+104段环卫保洁服务采购项目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1,123,000.00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内蒙古晔利项目管理有限公司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包头市稀土开发区幸福南路41号天龙写字楼五层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张帅、米红玲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0472-6918316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包头市公路事业发展中心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包头市九原区稀土路街道黄河大街33号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王宇俊郎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0472-5999203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代理服务费收费标准：采购代理服务费按人民币10000.00元，大写：壹万元整(含税价)收取。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包头市公路事业发展中心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内蒙古晔利项目管理有限公司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2025年国道110线K651+700-K668+104段进行环卫保洁服务，具体详见技术(参数)要求。</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1、按季度支付，达到付款条件起30日，支付合同总金额的25.00%</w:t>
            </w:r>
          </w:p>
          <w:p>
            <w:pPr>
              <w:pStyle w:val="null5"/>
              <w:jc w:val="left"/>
            </w:pPr>
            <w:r>
              <w:rPr>
                <w:rFonts w:ascii="仿宋_GB2312" w:hAnsi="仿宋_GB2312" w:cs="仿宋_GB2312" w:eastAsia="仿宋_GB2312"/>
              </w:rPr>
              <w:t>2、按季度支付，达到付款条件起30日，支付合同总金额的25.00%</w:t>
            </w:r>
          </w:p>
          <w:p>
            <w:pPr>
              <w:pStyle w:val="null5"/>
              <w:jc w:val="left"/>
            </w:pPr>
            <w:r>
              <w:rPr>
                <w:rFonts w:ascii="仿宋_GB2312" w:hAnsi="仿宋_GB2312" w:cs="仿宋_GB2312" w:eastAsia="仿宋_GB2312"/>
              </w:rPr>
              <w:t>3、按季度支付，达到付款条件起30日，支付合同总金额的25.00%</w:t>
            </w:r>
          </w:p>
          <w:p>
            <w:pPr>
              <w:pStyle w:val="null5"/>
              <w:jc w:val="left"/>
            </w:pPr>
            <w:r>
              <w:rPr>
                <w:rFonts w:ascii="仿宋_GB2312" w:hAnsi="仿宋_GB2312" w:cs="仿宋_GB2312" w:eastAsia="仿宋_GB2312"/>
              </w:rPr>
              <w:t>4、按季度支付，达到付款条件起30日，支付合同总金额的25.00%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1、期次1，说明：达到国家或行业验收标准并满足采购人需求</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招标控制价:</w:t>
              <w:br/>
              <w:t>本项目招标控制价上限为：人民币1123000.00元，不设下限，超出招标控制价的按废标处理。</w:t>
              <w:br/>
              <w:t>投标报价说明:</w:t>
              <w:br/>
              <w:t xml:space="preserve"> 本项目采用竞争性磋商方式采购，投标供应商在评标时需要进行二次报价，二次报价不得高于一次报价，一次报价和二次报价均不能超出招标控制价，超出的按废标处理。</w:t>
              <w:br/>
              <w:t>关于纸质投标文件的说明: 供应商中标后，须在发布中标公告后两天内提供与电子响应文件内容完全一致的纸质响应文件4份（用于备案存档）。</w:t>
              <w:br/>
              <w:t>响应文件制作说明:</w:t>
              <w:br/>
              <w:t>此项目为电子投标，制作响应文件时请到自治区采购网首页自行学习操作方法 (网站上有操作视频) ，如遇问题无法解决可直接联系软件公司咨询，内蒙古自治区金财公司技术支持400-0471-010。</w:t>
              <w:br/>
              <w:t>招标文件模板:</w:t>
              <w:br/>
              <w:t xml:space="preserve"> 由于本项目采用电子系统招标，后台竞争性磋商文件为系统模板，根据具体项目的情况无法准确描述，部分内容只可填空，不可更改。采购文件中有不适用之处，敬请见谅。如有问题，请及时联系采购代理公司。</w:t>
              <w:br/>
              <w:t>合同融资:</w:t>
              <w:br/>
              <w:t>为支持和促进中小企业发展，切实解决企业融资难问题，包头市政府采购项目已开通合同融资渠道，供应商中标后可通过中标合同向相关银行发起无抵押无担保融资申请，银行根据企业中标信息发放贷款，帮助企业解决融资问题。相关资料可查阅：http://39.104.85.103/zcds ervice/zcd/neimeng</w:t>
              <w:br/>
              <w:t>特别提示:</w:t>
              <w:br/>
              <w:t>本项目为远程开标，供应商需开标时远程解锁、确认。各供应商必须保证电脑可正常登陆、解密及签章。本项目设置解密、签章、确认时间均为30分钟，如供应商在规定时间内无法解密或签章、确认等，造成废标的，采购人及采购代理机构不承担任何责任。</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标的名称：2025年国道110线K651+700-K668+104段环卫保洁服务采购项目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路面、护栏、防眩网、标志标牌等沿线设施清扫保洁工作，路面清除积水，冬季清冰初雪，中央隔离带的杂草、积土、垃圾的清理等。起点为华资实业往东国道</w:t>
            </w:r>
            <w:r>
              <w:rPr>
                <w:rFonts w:ascii="仿宋_GB2312" w:hAnsi="仿宋_GB2312" w:cs="仿宋_GB2312" w:eastAsia="仿宋_GB2312"/>
                <w:sz w:val="24"/>
              </w:rPr>
              <w:t>110</w:t>
            </w:r>
            <w:r>
              <w:rPr>
                <w:rFonts w:ascii="仿宋_GB2312" w:hAnsi="仿宋_GB2312" w:cs="仿宋_GB2312" w:eastAsia="仿宋_GB2312"/>
                <w:sz w:val="24"/>
              </w:rPr>
              <w:t>线与</w:t>
            </w:r>
            <w:r>
              <w:rPr>
                <w:rFonts w:ascii="仿宋_GB2312" w:hAnsi="仿宋_GB2312" w:cs="仿宋_GB2312" w:eastAsia="仿宋_GB2312"/>
                <w:sz w:val="24"/>
              </w:rPr>
              <w:t>G6</w:t>
            </w:r>
            <w:r>
              <w:rPr>
                <w:rFonts w:ascii="仿宋_GB2312" w:hAnsi="仿宋_GB2312" w:cs="仿宋_GB2312" w:eastAsia="仿宋_GB2312"/>
                <w:sz w:val="24"/>
              </w:rPr>
              <w:t>高速立交桥下，终点为东河区西北门往东复兴大街与国道</w:t>
            </w:r>
            <w:r>
              <w:rPr>
                <w:rFonts w:ascii="仿宋_GB2312" w:hAnsi="仿宋_GB2312" w:cs="仿宋_GB2312" w:eastAsia="仿宋_GB2312"/>
                <w:sz w:val="24"/>
              </w:rPr>
              <w:t>110</w:t>
            </w:r>
            <w:r>
              <w:rPr>
                <w:rFonts w:ascii="仿宋_GB2312" w:hAnsi="仿宋_GB2312" w:cs="仿宋_GB2312" w:eastAsia="仿宋_GB2312"/>
                <w:sz w:val="24"/>
              </w:rPr>
              <w:t>线衔接处（终点桩号</w:t>
            </w:r>
            <w:r>
              <w:rPr>
                <w:rFonts w:ascii="仿宋_GB2312" w:hAnsi="仿宋_GB2312" w:cs="仿宋_GB2312" w:eastAsia="仿宋_GB2312"/>
                <w:sz w:val="24"/>
              </w:rPr>
              <w:t>K668+104</w:t>
            </w:r>
            <w:r>
              <w:rPr>
                <w:rFonts w:ascii="仿宋_GB2312" w:hAnsi="仿宋_GB2312" w:cs="仿宋_GB2312" w:eastAsia="仿宋_GB2312"/>
                <w:sz w:val="24"/>
              </w:rPr>
              <w:t>），共</w:t>
            </w:r>
            <w:r>
              <w:rPr>
                <w:rFonts w:ascii="仿宋_GB2312" w:hAnsi="仿宋_GB2312" w:cs="仿宋_GB2312" w:eastAsia="仿宋_GB2312"/>
                <w:sz w:val="24"/>
              </w:rPr>
              <w:t>16.404</w:t>
            </w:r>
            <w:r>
              <w:rPr>
                <w:rFonts w:ascii="仿宋_GB2312" w:hAnsi="仿宋_GB2312" w:cs="仿宋_GB2312" w:eastAsia="仿宋_GB2312"/>
                <w:sz w:val="24"/>
              </w:rPr>
              <w:t>公里。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审查供应商2023年度经会计师事务所出具的财务审计报告或其基本开户银行出具的近一年内的银行资信证明或供应商出具的声明函。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或供应商出具的声明函。2.提供递交响应文件截止之日前一年内（至少一个月）缴纳社会保险的凭证（以专用收据或社会保险缴纳清单为准）或供应商出具的声明函。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1.供应商在中国政府采购网(http://www.ccgp.gov.cn/search/cr/)，未被列入政府采购严重违法失信行为记录名单，查询时间为发布公告之日至提交响应文件截止时间前；2.供应商在信用中国网(http://www.creditchina.gov.cn)，未被列入重大税收违法失信主体、政府采购严重违法失信行为记录名单，查询时间为发布公告之日至提交响应文件截止时间前；3.供应商在中国执行信息公开网(http://zxgk.court.gov.cn/shixin/),未被列入失信被执行人，查询时间为发布公告之日至提交响应文件截止时间前；4.供应商近三年在中国裁判文书网(http://wenshu.court.gov.cn/)，法定代表人及单位无行贿犯罪行为。</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符合关于联合体竞标的相关规定。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参与的供应商（联合体）提供的服务全部为符合政策要求的中小企业承接，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针对本项目特点，根据供应商提供的整体服务方案，包括但不限于：①清扫保洁服务标准；②服务工作范围与计划；③杂草、积土、垃圾清运方案；④公用设施维护管理；⑤对本项目工作中的重点、难点分析及应对措施，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根据供应商提供的服务质量保障方案，内容应包括但不限于：①质量管理目标；②质量控制计划；③质量责任体系；④质量管理措施；⑤质量监督与检验，对上述五项方案内容的合理性、完整性、可行性分别进行评审，以上五项内容完整，均进行详细阐述且满足采购需求，得15分；每缺一项扣3分，存在缺陷的一项扣0.1-2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供应商提供的安全管理体系与措施方案，内容应包括但不限于：①安全作业管理制度；②安全文明作业方案；③设施设备安全检查方案；④安全事故处理方法，对上述四项方案内容的合理性、完整性、可行性分别进行评审，以上四项内容完整，均进行详细阐述且满足采购需求，得8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供应商提供的环境保护管理体系与措施进行评审，内容包括但不限于：①环境保护目标；②环境保护管理措施；③污染物处理及排放，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进度保证体系及措施</w:t>
            </w:r>
          </w:p>
        </w:tc>
        <w:tc>
          <w:tcPr>
            <w:tcW w:type="dxa" w:w="3115"/>
          </w:tcPr>
          <w:p>
            <w:pPr>
              <w:pStyle w:val="null5"/>
              <w:jc w:val="left"/>
            </w:pPr>
            <w:r>
              <w:rPr>
                <w:rFonts w:ascii="仿宋_GB2312" w:hAnsi="仿宋_GB2312" w:cs="仿宋_GB2312" w:eastAsia="仿宋_GB2312"/>
              </w:rPr>
              <w:t>根据供应商提供的进度保证体系及措施方案，内容应包括但不限于：①作业进度计划安排；②进度保证措施，对上述两项方案内容的合理性、完整性、可行性分别进行评审，以上两项内容完整，均进行详细阐述且满足采购需求，得4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供应商提供的资源配备计划进行评审，内容包括但不限于：①保洁清扫工具配备管理计划；②安全防护用品配备管理方案；③拟投入劳动力管理计划，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根据供应商提供的项目机构管理方案进行评审，内容包括但不限于：①项目管理机构设置及规章制度；②人员能力③人员管理方案及职责的划分，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根据供应商提供的特殊季节保障措施进行评审，内容包括但不限于：①冬季清雪除冰服务方案；②雨季清除路面积水，保障雨水管网畅通服务方案，对上述两项方案内容的合理性、完整性、可行性分别进行评审，以上两项内容完整，均进行详细阐述且满足采购需求，得4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应急管理措施</w:t>
            </w:r>
          </w:p>
        </w:tc>
        <w:tc>
          <w:tcPr>
            <w:tcW w:type="dxa" w:w="3115"/>
          </w:tcPr>
          <w:p>
            <w:pPr>
              <w:pStyle w:val="null5"/>
              <w:jc w:val="left"/>
            </w:pPr>
            <w:r>
              <w:rPr>
                <w:rFonts w:ascii="仿宋_GB2312" w:hAnsi="仿宋_GB2312" w:cs="仿宋_GB2312" w:eastAsia="仿宋_GB2312"/>
              </w:rPr>
              <w:t>根据供应商提供的应急管理措施，内容应包括但不限于：①针对大型活动的应急预案；②针对突发状况、恶劣天气等情况的应急预案；③应急作业人员的调配及应急车辆、设备的配置方案，对上述三项方案内容的合理性、完整性、可行性分别进行评审，以上三项内容完整，均进行详细阐述且满足采购需求，得6分；每缺一项扣2分，存在缺陷的一项扣0.1-1分，扣完为止。（缺陷是指：内容不完整或缺少关键点；非专门针对本项目或不适用本项目特性、套用其他项目内容；存在逻辑漏洞、科学原理或常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供应商近三年（2022年01月至投标截止时间）的同类业绩情况，有一个得2分，最多得4分。 注：1、时间以合同签订日期为准； 2、同类业绩：环卫保洁服务相关项目业绩； 3、响应文件中须提供合同或中标通知书原件的扫描件，未提供或原件的扫描件不清晰不得分。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作业车辆配备</w:t>
            </w:r>
          </w:p>
        </w:tc>
        <w:tc>
          <w:tcPr>
            <w:tcW w:type="dxa" w:w="3115"/>
          </w:tcPr>
          <w:p>
            <w:pPr>
              <w:pStyle w:val="null5"/>
              <w:jc w:val="left"/>
            </w:pPr>
            <w:r>
              <w:rPr>
                <w:rFonts w:ascii="仿宋_GB2312" w:hAnsi="仿宋_GB2312" w:cs="仿宋_GB2312" w:eastAsia="仿宋_GB2312"/>
              </w:rPr>
              <w:t>作业车辆证照手续齐全，配备车辆包括但不限于清洗车、路面养护车、吸尘车、路面垃圾车、除雪车、抑尘炮雾车等。每提供一辆车辆得2分，最多得6分。 注：1、如车辆为自有车辆，需提供车辆行驶证、车辆保险和司机驾照；如车辆为租赁车辆，还需提供租赁合同。 2、响应文件中须提供车辆证明材料原件的扫描件，未提供或原件的扫描件不清晰不得分。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