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调整包头市城区地下水源地保护区（东河部分）划分项目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包头市生态环境局石拐区分局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内蒙古金诺项目管理有限公司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BTZCS-C-F-250016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内蒙古金诺项目管理有限公司</w:t>
      </w:r>
      <w:r>
        <w:rPr>
          <w:rFonts w:ascii="仿宋_GB2312" w:hAnsi="仿宋_GB2312" w:cs="仿宋_GB2312" w:eastAsia="仿宋_GB2312"/>
        </w:rPr>
        <w:t xml:space="preserve"> 受 </w:t>
      </w:r>
      <w:r>
        <w:rPr>
          <w:rFonts w:ascii="仿宋_GB2312" w:hAnsi="仿宋_GB2312" w:cs="仿宋_GB2312" w:eastAsia="仿宋_GB2312"/>
        </w:rPr>
        <w:t>包头市生态环境局石拐区分局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调整包头市城区地下水源地保护区（东河部分）划分项目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调整包头市城区地下水源地保护区（东河部分）划分项目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BTZCS-C-F-250016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包政采计划[2025]00350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2,419,152.00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调整包头市城区地下水源地保护区（东河部分）划分项目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2,419,152.00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内蒙古金诺项目管理有限公司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内蒙古自治区包头市昆都仑区包头市昆都仑区包头乐园东门南200米处2号楼三层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张彩云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0472-2799716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包头市生态环境局石拐区分局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喜桂图新区人环楼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014070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张志勇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15540242222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代理服务费收费标准：以实际中标金额的1.5%收取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1、最高投标限价: 本项目设有最高投标价：2419152元。首轮响应报价及最后报价超出或等于竞争性磋商文件中规定的预算金额或者最高限价的，按无效标处理。 2、其他说明: （1）、采购代理服务费由中标供应商交纳。（2）、本项目施工合同以采购人提供为准。（3）、本项目为电子投标，制作投标文件时请到自治区采购网首页自行学习操作方法（网站上有操作视频），如遇问题无法解决可直接联系软件公司咨询，内蒙古自治区金财公司技术支持400-0471-010。（4）、由于本项目采用电子系统招标，招标文件为系统模板，根据具体项目的情况无法准确描述，部分内容只可填空，不可更改。所以招标文件中有不适用之处，敬请见谅。如有问题，请及时联系采购代理机构。（5）、本项目为远程开标，供应商需提前半小时登录系统签到，开标时远程解锁、确认。开标时，各供应商必须保证电脑可正常登陆、解密及签章。（6）、关于纸质投标文件的要求：电子文件：网上上传电子文件1份，开标结束后，需将不加密响应文件电子版发送至代理机构邮箱jinnuozhaobiao@yeah.net，注明项目名称和单位名称。供应商中标后，须于中标结果公告后提供与电子投标文件内容完全一致的纸质投标文件(包括二次报价已标价工程量清单）3份（一正两副，用于备案存档）。纸质投标文件要求由投标文件制作工具直接打印（内容必须完整）、装订后并加盖单位公章，如与电子版投标文件内容不一致所引起一切法律责任及不良后果，由供应商自行承担，并记入诚信档案。纸质投标文件中所有要求盖章、签字的地方都按“招标文件”中“签字、盖章要求”执行。打印注意事项：纸质投标文件要以胶装形式牢固装订。按招标文件中投标文件格式”的顺序装订成册，牢固装订是指装订好的投标文件不至于在翻阅时散开或用简单的方式将其中一项取出或将其他文件插入，各种活页装订、打孔式、塑料方便式书脊插入装订的不认 为是牢固装订。（7）、成交供应商请在接到成交通知书后30日内与采购人签订合同。合同签订后2个工作日内将合同扫描件打包发送包头市金诺项目管理有限公司邮箱：jinnuozhaobiao@yeah.net，以便采购代理机构进行合同备案。（8）、评标委员会认为供应商的投标报价明显低于其他通过符合性审查供应商的投标报价，有可能影响服务质量或者不能诚信履约的，应当要求其在评审现场合理的时间内提供书面说明，必要时提交相关证明材料；供应商不能证明其报价合理性的，评标委员会应当将其作为无效投标处理。</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包头市生态环境局石拐区分局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内蒙古金诺项目管理有限公司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2010年7月，包头市就地下水制定了《包头市饮用水地下水源保护区划分方案》，该保护区划定方案在2011年5月经过自治区人民政府批准实施，经过十多年践行，对保护饮用水源地的水质和饮用水安全起到了巨大的作用。然而，随着包头市城区范围及经济发展不断提升，以及多年来水源地区域含水地层赋水条件不断发生变化，供水形式也发生了较大调整，其中东河部分城市级地下水水源井的开采井数量也发生了变化，功能也发生了转变，出现空间布局不合理，与石拐区物流园区、科创园区、建材园区均有重合，导致石拐区土地资源紧张和可利用土地有限。因此，本次工作要求按照最新颁布实施的《饮用水水源保护区划分技术规范》（HJ338－2018）要求，参考其他相关技术指南，在调查、资料收集整理的基础上，开展地区的水文地质调查及污染源调查工作，辅助以适当的测绘及物探勘察手段开展地下地层，构造的基础验证工作，并结合水文地质测试、现场抽水试验、室内分析验证等工作，开展包头市城区地下水源地保护区（东河部分）划分工作，提高石拐区土地利用效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自合同签订之日起至2025年12月15日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包头市生态环境局石拐区分局，现场服务</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1、合同签订后，达到付款条件起5日，支付合同总金额的50.00%</w:t>
            </w:r>
          </w:p>
          <w:p>
            <w:pPr>
              <w:pStyle w:val="null5"/>
              <w:jc w:val="left"/>
            </w:pPr>
            <w:r>
              <w:rPr>
                <w:rFonts w:ascii="仿宋_GB2312" w:hAnsi="仿宋_GB2312" w:cs="仿宋_GB2312" w:eastAsia="仿宋_GB2312"/>
              </w:rPr>
              <w:t>2、项目成果报告通过采购人组织的专家验收并取得验收合格结论并提交经验收合格的最终成果报告后支付，达到付款条件起5日，支付合同总金额的30.00%</w:t>
            </w:r>
          </w:p>
          <w:p>
            <w:pPr>
              <w:pStyle w:val="null5"/>
              <w:jc w:val="left"/>
            </w:pPr>
            <w:r>
              <w:rPr>
                <w:rFonts w:ascii="仿宋_GB2312" w:hAnsi="仿宋_GB2312" w:cs="仿宋_GB2312" w:eastAsia="仿宋_GB2312"/>
              </w:rPr>
              <w:t>3、协助完成自治区人民政府主席办公会上会后支付，达到付款条件起5日，支付合同总金额的20.00%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标的名称：调整包头市城区地下水源地保护区（东河部分）划分项目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jc w:val="left"/>
            </w:pPr>
            <w:r>
              <w:rPr>
                <w:rFonts w:ascii="仿宋_GB2312" w:hAnsi="仿宋_GB2312" w:cs="仿宋_GB2312" w:eastAsia="仿宋_GB2312"/>
                <w:sz w:val="16"/>
                <w:color w:val="000000"/>
              </w:rPr>
              <w:t>一、项目工作范围及目标</w:t>
            </w:r>
          </w:p>
          <w:p>
            <w:pPr>
              <w:pStyle w:val="null5"/>
              <w:spacing w:before="30"/>
              <w:ind w:left="120" w:firstLine="320"/>
              <w:jc w:val="left"/>
            </w:pPr>
            <w:r>
              <w:rPr>
                <w:rFonts w:ascii="仿宋_GB2312" w:hAnsi="仿宋_GB2312" w:cs="仿宋_GB2312" w:eastAsia="仿宋_GB2312"/>
                <w:sz w:val="16"/>
                <w:color w:val="000000"/>
              </w:rPr>
              <w:t>工作范围为基于保护区所在冲洪积扇水文地质单元及其汇水区范围，包含原有取水井及新建取水井的区域，在前期保护区划定相关基础工作资料的基础上，初步评估工作范围包括石拐区南部、东河区北部及九原区南部，调查、分析及评估面积约</w:t>
            </w:r>
            <w:r>
              <w:rPr>
                <w:rFonts w:ascii="仿宋_GB2312" w:hAnsi="仿宋_GB2312" w:cs="仿宋_GB2312" w:eastAsia="仿宋_GB2312"/>
                <w:sz w:val="16"/>
                <w:color w:val="000000"/>
              </w:rPr>
              <w:t>360</w:t>
            </w:r>
            <w:r>
              <w:rPr>
                <w:rFonts w:ascii="仿宋_GB2312" w:hAnsi="仿宋_GB2312" w:cs="仿宋_GB2312" w:eastAsia="仿宋_GB2312"/>
                <w:sz w:val="16"/>
                <w:color w:val="000000"/>
              </w:rPr>
              <w:t>平方公里。工作目标为</w:t>
            </w:r>
            <w:r>
              <w:rPr>
                <w:rFonts w:ascii="仿宋_GB2312" w:hAnsi="仿宋_GB2312" w:cs="仿宋_GB2312" w:eastAsia="仿宋_GB2312"/>
                <w:sz w:val="16"/>
                <w:color w:val="000000"/>
              </w:rPr>
              <w:t>在调查、资料收集整理的基础上，开展地区的水文地质调查及污染源调查工作，辅</w:t>
            </w:r>
            <w:r>
              <w:rPr>
                <w:rFonts w:ascii="仿宋_GB2312" w:hAnsi="仿宋_GB2312" w:cs="仿宋_GB2312" w:eastAsia="仿宋_GB2312"/>
                <w:sz w:val="16"/>
                <w:color w:val="000000"/>
              </w:rPr>
              <w:t>助以适当的</w:t>
            </w:r>
            <w:r>
              <w:rPr>
                <w:rFonts w:ascii="仿宋_GB2312" w:hAnsi="仿宋_GB2312" w:cs="仿宋_GB2312" w:eastAsia="仿宋_GB2312"/>
                <w:sz w:val="16"/>
                <w:color w:val="000000"/>
              </w:rPr>
              <w:t>测绘、</w:t>
            </w:r>
            <w:r>
              <w:rPr>
                <w:rFonts w:ascii="仿宋_GB2312" w:hAnsi="仿宋_GB2312" w:cs="仿宋_GB2312" w:eastAsia="仿宋_GB2312"/>
                <w:sz w:val="16"/>
                <w:color w:val="000000"/>
              </w:rPr>
              <w:t>物探勘察手段开展地下地层，构造的基础验证工作，并结合水文地质测试、现场抽水试验、室内分析验证</w:t>
            </w:r>
            <w:r>
              <w:rPr>
                <w:rFonts w:ascii="仿宋_GB2312" w:hAnsi="仿宋_GB2312" w:cs="仿宋_GB2312" w:eastAsia="仿宋_GB2312"/>
                <w:sz w:val="16"/>
                <w:color w:val="000000"/>
              </w:rPr>
              <w:t>等工作，开展包头市城区地下水源地保护区（东河部分）划分工作。</w:t>
            </w:r>
            <w:r>
              <w:rPr>
                <w:rFonts w:ascii="仿宋_GB2312" w:hAnsi="仿宋_GB2312" w:cs="仿宋_GB2312" w:eastAsia="仿宋_GB2312"/>
                <w:sz w:val="16"/>
                <w:color w:val="000000"/>
              </w:rPr>
              <w:t>编制《包头市城市地下水饮用水水源保护区优化调整技术报告（东河部分）》，为包头市城市地下水源地的生态环境管理工作提供科学依据。</w:t>
            </w:r>
          </w:p>
          <w:p>
            <w:pPr>
              <w:pStyle w:val="null5"/>
              <w:spacing w:before="30"/>
              <w:ind w:left="120"/>
              <w:jc w:val="left"/>
            </w:pPr>
            <w:r>
              <w:rPr>
                <w:rFonts w:ascii="仿宋_GB2312" w:hAnsi="仿宋_GB2312" w:cs="仿宋_GB2312" w:eastAsia="仿宋_GB2312"/>
                <w:sz w:val="16"/>
                <w:color w:val="000000"/>
              </w:rPr>
              <w:t>二、主要工作内容</w:t>
            </w:r>
          </w:p>
          <w:p>
            <w:pPr>
              <w:pStyle w:val="null5"/>
              <w:spacing w:before="30"/>
              <w:ind w:left="120"/>
              <w:jc w:val="left"/>
            </w:pPr>
            <w:r>
              <w:rPr>
                <w:rFonts w:ascii="仿宋_GB2312" w:hAnsi="仿宋_GB2312" w:cs="仿宋_GB2312" w:eastAsia="仿宋_GB2312"/>
                <w:sz w:val="16"/>
                <w:color w:val="000000"/>
              </w:rPr>
              <w:t>1、工作依据</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w:t>
            </w:r>
            <w:r>
              <w:rPr>
                <w:rFonts w:ascii="仿宋_GB2312" w:hAnsi="仿宋_GB2312" w:cs="仿宋_GB2312" w:eastAsia="仿宋_GB2312"/>
                <w:sz w:val="16"/>
                <w:color w:val="000000"/>
              </w:rPr>
              <w:t>）《中华人民共和国环境保护法》（</w:t>
            </w:r>
            <w:r>
              <w:rPr>
                <w:rFonts w:ascii="仿宋_GB2312" w:hAnsi="仿宋_GB2312" w:cs="仿宋_GB2312" w:eastAsia="仿宋_GB2312"/>
                <w:sz w:val="16"/>
                <w:color w:val="000000"/>
              </w:rPr>
              <w:t>2015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w:t>
            </w:r>
            <w:r>
              <w:rPr>
                <w:rFonts w:ascii="仿宋_GB2312" w:hAnsi="仿宋_GB2312" w:cs="仿宋_GB2312" w:eastAsia="仿宋_GB2312"/>
                <w:sz w:val="16"/>
                <w:color w:val="000000"/>
              </w:rPr>
              <w:t>月修订）</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w:t>
            </w:r>
            <w:r>
              <w:rPr>
                <w:rFonts w:ascii="仿宋_GB2312" w:hAnsi="仿宋_GB2312" w:cs="仿宋_GB2312" w:eastAsia="仿宋_GB2312"/>
                <w:sz w:val="16"/>
                <w:color w:val="000000"/>
              </w:rPr>
              <w:t>）《中华人民共和国水法》（</w:t>
            </w:r>
            <w:r>
              <w:rPr>
                <w:rFonts w:ascii="仿宋_GB2312" w:hAnsi="仿宋_GB2312" w:cs="仿宋_GB2312" w:eastAsia="仿宋_GB2312"/>
                <w:sz w:val="16"/>
                <w:color w:val="000000"/>
              </w:rPr>
              <w:t>2016</w:t>
            </w:r>
            <w:r>
              <w:rPr>
                <w:rFonts w:ascii="仿宋_GB2312" w:hAnsi="仿宋_GB2312" w:cs="仿宋_GB2312" w:eastAsia="仿宋_GB2312"/>
                <w:sz w:val="16"/>
                <w:color w:val="000000"/>
              </w:rPr>
              <w:t>年修订）</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）《中华人民共和国水污染防治法》（</w:t>
            </w:r>
            <w:r>
              <w:rPr>
                <w:rFonts w:ascii="仿宋_GB2312" w:hAnsi="仿宋_GB2312" w:cs="仿宋_GB2312" w:eastAsia="仿宋_GB2312"/>
                <w:sz w:val="16"/>
                <w:color w:val="000000"/>
              </w:rPr>
              <w:t>2018</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w:t>
            </w:r>
            <w:r>
              <w:rPr>
                <w:rFonts w:ascii="仿宋_GB2312" w:hAnsi="仿宋_GB2312" w:cs="仿宋_GB2312" w:eastAsia="仿宋_GB2312"/>
                <w:sz w:val="16"/>
                <w:color w:val="000000"/>
              </w:rPr>
              <w:t>月修订）</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）《中华人民共和国黄河保护法》（</w:t>
            </w:r>
            <w:r>
              <w:rPr>
                <w:rFonts w:ascii="仿宋_GB2312" w:hAnsi="仿宋_GB2312" w:cs="仿宋_GB2312" w:eastAsia="仿宋_GB2312"/>
                <w:sz w:val="16"/>
                <w:color w:val="000000"/>
              </w:rPr>
              <w:t>2023</w:t>
            </w:r>
            <w:r>
              <w:rPr>
                <w:rFonts w:ascii="仿宋_GB2312" w:hAnsi="仿宋_GB2312" w:cs="仿宋_GB2312" w:eastAsia="仿宋_GB2312"/>
                <w:sz w:val="16"/>
                <w:color w:val="000000"/>
              </w:rPr>
              <w:t>年</w:t>
            </w:r>
            <w:r>
              <w:rPr>
                <w:rFonts w:ascii="仿宋_GB2312" w:hAnsi="仿宋_GB2312" w:cs="仿宋_GB2312" w:eastAsia="仿宋_GB2312"/>
                <w:sz w:val="16"/>
                <w:color w:val="000000"/>
              </w:rPr>
              <w:t>4</w:t>
            </w:r>
            <w:r>
              <w:rPr>
                <w:rFonts w:ascii="仿宋_GB2312" w:hAnsi="仿宋_GB2312" w:cs="仿宋_GB2312" w:eastAsia="仿宋_GB2312"/>
                <w:sz w:val="16"/>
                <w:color w:val="000000"/>
              </w:rPr>
              <w:t>月实施）</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5</w:t>
            </w:r>
            <w:r>
              <w:rPr>
                <w:rFonts w:ascii="仿宋_GB2312" w:hAnsi="仿宋_GB2312" w:cs="仿宋_GB2312" w:eastAsia="仿宋_GB2312"/>
                <w:sz w:val="16"/>
                <w:color w:val="000000"/>
              </w:rPr>
              <w:t>）《地下水管理条例》（国务院令第</w:t>
            </w:r>
            <w:r>
              <w:rPr>
                <w:rFonts w:ascii="仿宋_GB2312" w:hAnsi="仿宋_GB2312" w:cs="仿宋_GB2312" w:eastAsia="仿宋_GB2312"/>
                <w:sz w:val="16"/>
                <w:color w:val="000000"/>
              </w:rPr>
              <w:t>748</w:t>
            </w:r>
            <w:r>
              <w:rPr>
                <w:rFonts w:ascii="仿宋_GB2312" w:hAnsi="仿宋_GB2312" w:cs="仿宋_GB2312" w:eastAsia="仿宋_GB2312"/>
                <w:sz w:val="16"/>
                <w:color w:val="000000"/>
              </w:rPr>
              <w:t>号）</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6</w:t>
            </w:r>
            <w:r>
              <w:rPr>
                <w:rFonts w:ascii="仿宋_GB2312" w:hAnsi="仿宋_GB2312" w:cs="仿宋_GB2312" w:eastAsia="仿宋_GB2312"/>
                <w:sz w:val="16"/>
                <w:color w:val="000000"/>
              </w:rPr>
              <w:t>）《饮用水水源保护区污染防治管理规定》（</w:t>
            </w:r>
            <w:r>
              <w:rPr>
                <w:rFonts w:ascii="仿宋_GB2312" w:hAnsi="仿宋_GB2312" w:cs="仿宋_GB2312" w:eastAsia="仿宋_GB2312"/>
                <w:sz w:val="16"/>
                <w:color w:val="000000"/>
              </w:rPr>
              <w:t>2010</w:t>
            </w:r>
            <w:r>
              <w:rPr>
                <w:rFonts w:ascii="仿宋_GB2312" w:hAnsi="仿宋_GB2312" w:cs="仿宋_GB2312" w:eastAsia="仿宋_GB2312"/>
                <w:sz w:val="16"/>
                <w:color w:val="000000"/>
              </w:rPr>
              <w:t>年修订）</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7</w:t>
            </w:r>
            <w:r>
              <w:rPr>
                <w:rFonts w:ascii="仿宋_GB2312" w:hAnsi="仿宋_GB2312" w:cs="仿宋_GB2312" w:eastAsia="仿宋_GB2312"/>
                <w:sz w:val="16"/>
                <w:color w:val="000000"/>
              </w:rPr>
              <w:t>）《地下水保护利用管理办法》（水资管〔</w:t>
            </w:r>
            <w:r>
              <w:rPr>
                <w:rFonts w:ascii="仿宋_GB2312" w:hAnsi="仿宋_GB2312" w:cs="仿宋_GB2312" w:eastAsia="仿宋_GB2312"/>
                <w:sz w:val="16"/>
                <w:color w:val="000000"/>
              </w:rPr>
              <w:t>2023</w:t>
            </w:r>
            <w:r>
              <w:rPr>
                <w:rFonts w:ascii="仿宋_GB2312" w:hAnsi="仿宋_GB2312" w:cs="仿宋_GB2312" w:eastAsia="仿宋_GB2312"/>
                <w:sz w:val="16"/>
                <w:color w:val="000000"/>
              </w:rPr>
              <w:t>〕</w:t>
            </w:r>
            <w:r>
              <w:rPr>
                <w:rFonts w:ascii="仿宋_GB2312" w:hAnsi="仿宋_GB2312" w:cs="仿宋_GB2312" w:eastAsia="仿宋_GB2312"/>
                <w:sz w:val="16"/>
                <w:color w:val="000000"/>
              </w:rPr>
              <w:t>214</w:t>
            </w:r>
            <w:r>
              <w:rPr>
                <w:rFonts w:ascii="仿宋_GB2312" w:hAnsi="仿宋_GB2312" w:cs="仿宋_GB2312" w:eastAsia="仿宋_GB2312"/>
                <w:sz w:val="16"/>
                <w:color w:val="000000"/>
              </w:rPr>
              <w:t>号）</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8</w:t>
            </w:r>
            <w:r>
              <w:rPr>
                <w:rFonts w:ascii="仿宋_GB2312" w:hAnsi="仿宋_GB2312" w:cs="仿宋_GB2312" w:eastAsia="仿宋_GB2312"/>
                <w:sz w:val="16"/>
                <w:color w:val="000000"/>
              </w:rPr>
              <w:t>）《关于答复全国集中式饮用水水源地环境保护专项行动有关问题的函》（环办环监函〔</w:t>
            </w:r>
            <w:r>
              <w:rPr>
                <w:rFonts w:ascii="仿宋_GB2312" w:hAnsi="仿宋_GB2312" w:cs="仿宋_GB2312" w:eastAsia="仿宋_GB2312"/>
                <w:sz w:val="16"/>
                <w:color w:val="000000"/>
              </w:rPr>
              <w:t>2018</w:t>
            </w:r>
            <w:r>
              <w:rPr>
                <w:rFonts w:ascii="仿宋_GB2312" w:hAnsi="仿宋_GB2312" w:cs="仿宋_GB2312" w:eastAsia="仿宋_GB2312"/>
                <w:sz w:val="16"/>
                <w:color w:val="000000"/>
              </w:rPr>
              <w:t>〕</w:t>
            </w:r>
            <w:r>
              <w:rPr>
                <w:rFonts w:ascii="仿宋_GB2312" w:hAnsi="仿宋_GB2312" w:cs="仿宋_GB2312" w:eastAsia="仿宋_GB2312"/>
                <w:sz w:val="16"/>
                <w:color w:val="000000"/>
              </w:rPr>
              <w:t>767</w:t>
            </w:r>
            <w:r>
              <w:rPr>
                <w:rFonts w:ascii="仿宋_GB2312" w:hAnsi="仿宋_GB2312" w:cs="仿宋_GB2312" w:eastAsia="仿宋_GB2312"/>
                <w:sz w:val="16"/>
                <w:color w:val="000000"/>
              </w:rPr>
              <w:t>号）</w:t>
            </w:r>
          </w:p>
          <w:p>
            <w:pPr>
              <w:pStyle w:val="null5"/>
              <w:spacing w:before="30"/>
              <w:ind w:left="1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9</w:t>
            </w:r>
            <w:r>
              <w:rPr>
                <w:rFonts w:ascii="仿宋_GB2312" w:hAnsi="仿宋_GB2312" w:cs="仿宋_GB2312" w:eastAsia="仿宋_GB2312"/>
                <w:sz w:val="16"/>
                <w:color w:val="000000"/>
              </w:rPr>
              <w:t>）《关于答复</w:t>
            </w:r>
            <w:r>
              <w:rPr>
                <w:rFonts w:ascii="仿宋_GB2312" w:hAnsi="仿宋_GB2312" w:cs="仿宋_GB2312" w:eastAsia="仿宋_GB2312"/>
                <w:sz w:val="16"/>
                <w:color w:val="000000"/>
              </w:rPr>
              <w:t>2019</w:t>
            </w:r>
            <w:r>
              <w:rPr>
                <w:rFonts w:ascii="仿宋_GB2312" w:hAnsi="仿宋_GB2312" w:cs="仿宋_GB2312" w:eastAsia="仿宋_GB2312"/>
                <w:sz w:val="16"/>
                <w:color w:val="000000"/>
              </w:rPr>
              <w:t>年饮用水水源地环境保护专项行动有关问题的函》（环办执法函〔</w:t>
            </w:r>
            <w:r>
              <w:rPr>
                <w:rFonts w:ascii="仿宋_GB2312" w:hAnsi="仿宋_GB2312" w:cs="仿宋_GB2312" w:eastAsia="仿宋_GB2312"/>
                <w:sz w:val="16"/>
                <w:color w:val="000000"/>
              </w:rPr>
              <w:t>2019</w:t>
            </w:r>
            <w:r>
              <w:rPr>
                <w:rFonts w:ascii="仿宋_GB2312" w:hAnsi="仿宋_GB2312" w:cs="仿宋_GB2312" w:eastAsia="仿宋_GB2312"/>
                <w:sz w:val="16"/>
                <w:color w:val="000000"/>
              </w:rPr>
              <w:t>〕</w:t>
            </w:r>
            <w:r>
              <w:rPr>
                <w:rFonts w:ascii="仿宋_GB2312" w:hAnsi="仿宋_GB2312" w:cs="仿宋_GB2312" w:eastAsia="仿宋_GB2312"/>
                <w:sz w:val="16"/>
                <w:color w:val="000000"/>
              </w:rPr>
              <w:t>647</w:t>
            </w:r>
            <w:r>
              <w:rPr>
                <w:rFonts w:ascii="仿宋_GB2312" w:hAnsi="仿宋_GB2312" w:cs="仿宋_GB2312" w:eastAsia="仿宋_GB2312"/>
                <w:sz w:val="16"/>
                <w:color w:val="000000"/>
              </w:rPr>
              <w:t>号）</w:t>
            </w:r>
          </w:p>
          <w:p>
            <w:pPr>
              <w:pStyle w:val="null5"/>
              <w:spacing w:before="30"/>
              <w:ind w:left="120"/>
              <w:jc w:val="left"/>
            </w:pPr>
            <w:r>
              <w:rPr>
                <w:rFonts w:ascii="仿宋_GB2312" w:hAnsi="仿宋_GB2312" w:cs="仿宋_GB2312" w:eastAsia="仿宋_GB2312"/>
                <w:sz w:val="16"/>
                <w:color w:val="000000"/>
              </w:rPr>
              <w:t>2、工作内容和技术要求</w:t>
            </w:r>
          </w:p>
          <w:p>
            <w:pPr>
              <w:pStyle w:val="null5"/>
              <w:spacing w:before="30"/>
              <w:ind w:left="120" w:firstLine="320"/>
              <w:jc w:val="left"/>
            </w:pPr>
            <w:r>
              <w:rPr>
                <w:rFonts w:ascii="仿宋_GB2312" w:hAnsi="仿宋_GB2312" w:cs="仿宋_GB2312" w:eastAsia="仿宋_GB2312"/>
                <w:sz w:val="16"/>
                <w:color w:val="000000"/>
              </w:rPr>
              <w:t>根据《饮用水水源保护区划分技术规范》（</w:t>
            </w:r>
            <w:r>
              <w:rPr>
                <w:rFonts w:ascii="仿宋_GB2312" w:hAnsi="仿宋_GB2312" w:cs="仿宋_GB2312" w:eastAsia="仿宋_GB2312"/>
                <w:sz w:val="16"/>
                <w:color w:val="000000"/>
              </w:rPr>
              <w:t>HJ338</w:t>
            </w:r>
            <w:r>
              <w:rPr>
                <w:rFonts w:ascii="仿宋_GB2312" w:hAnsi="仿宋_GB2312" w:cs="仿宋_GB2312" w:eastAsia="仿宋_GB2312"/>
                <w:sz w:val="16"/>
                <w:color w:val="000000"/>
              </w:rPr>
              <w:t>－</w:t>
            </w:r>
            <w:r>
              <w:rPr>
                <w:rFonts w:ascii="仿宋_GB2312" w:hAnsi="仿宋_GB2312" w:cs="仿宋_GB2312" w:eastAsia="仿宋_GB2312"/>
                <w:sz w:val="16"/>
                <w:color w:val="000000"/>
              </w:rPr>
              <w:t>2018</w:t>
            </w:r>
            <w:r>
              <w:rPr>
                <w:rFonts w:ascii="仿宋_GB2312" w:hAnsi="仿宋_GB2312" w:cs="仿宋_GB2312" w:eastAsia="仿宋_GB2312"/>
                <w:sz w:val="16"/>
                <w:color w:val="000000"/>
              </w:rPr>
              <w:t>），在调查、资料收集整理的基础上，开展这个地区的水文地质调查及污染源调查工作，辅助以适当的</w:t>
            </w:r>
            <w:r>
              <w:rPr>
                <w:rFonts w:ascii="仿宋_GB2312" w:hAnsi="仿宋_GB2312" w:cs="仿宋_GB2312" w:eastAsia="仿宋_GB2312"/>
                <w:sz w:val="16"/>
                <w:color w:val="000000"/>
              </w:rPr>
              <w:t>钻探</w:t>
            </w:r>
            <w:r>
              <w:rPr>
                <w:rFonts w:ascii="仿宋_GB2312" w:hAnsi="仿宋_GB2312" w:cs="仿宋_GB2312" w:eastAsia="仿宋_GB2312"/>
                <w:sz w:val="16"/>
                <w:color w:val="000000"/>
              </w:rPr>
              <w:t>物探</w:t>
            </w:r>
            <w:r>
              <w:rPr>
                <w:rFonts w:ascii="仿宋_GB2312" w:hAnsi="仿宋_GB2312" w:cs="仿宋_GB2312" w:eastAsia="仿宋_GB2312"/>
                <w:sz w:val="16"/>
                <w:color w:val="000000"/>
              </w:rPr>
              <w:t>勘察</w:t>
            </w:r>
            <w:r>
              <w:rPr>
                <w:rFonts w:ascii="仿宋_GB2312" w:hAnsi="仿宋_GB2312" w:cs="仿宋_GB2312" w:eastAsia="仿宋_GB2312"/>
                <w:sz w:val="16"/>
                <w:color w:val="000000"/>
              </w:rPr>
              <w:t>手段开展地下地层，构造的基础验证工作，并结合水文地质测试、现场抽水试验、室内分析验证等工作，参考《地下水型饮用水水源补给区划定技术指南</w:t>
            </w:r>
            <w:r>
              <w:rPr>
                <w:rFonts w:ascii="仿宋_GB2312" w:hAnsi="仿宋_GB2312" w:cs="仿宋_GB2312" w:eastAsia="仿宋_GB2312"/>
                <w:sz w:val="16"/>
                <w:color w:val="000000"/>
              </w:rPr>
              <w:t>(</w:t>
            </w:r>
            <w:r>
              <w:rPr>
                <w:rFonts w:ascii="仿宋_GB2312" w:hAnsi="仿宋_GB2312" w:cs="仿宋_GB2312" w:eastAsia="仿宋_GB2312"/>
                <w:sz w:val="16"/>
                <w:color w:val="000000"/>
              </w:rPr>
              <w:t>试行</w:t>
            </w:r>
            <w:r>
              <w:rPr>
                <w:rFonts w:ascii="仿宋_GB2312" w:hAnsi="仿宋_GB2312" w:cs="仿宋_GB2312" w:eastAsia="仿宋_GB2312"/>
                <w:sz w:val="16"/>
                <w:color w:val="000000"/>
              </w:rPr>
              <w:t>)</w:t>
            </w:r>
            <w:r>
              <w:rPr>
                <w:rFonts w:ascii="仿宋_GB2312" w:hAnsi="仿宋_GB2312" w:cs="仿宋_GB2312" w:eastAsia="仿宋_GB2312"/>
                <w:sz w:val="16"/>
                <w:color w:val="000000"/>
              </w:rPr>
              <w:t>》（环办便函</w:t>
            </w:r>
            <w:r>
              <w:rPr>
                <w:rFonts w:ascii="仿宋_GB2312" w:hAnsi="仿宋_GB2312" w:cs="仿宋_GB2312" w:eastAsia="仿宋_GB2312"/>
                <w:sz w:val="16"/>
                <w:color w:val="000000"/>
              </w:rPr>
              <w:t>[2022]335</w:t>
            </w:r>
            <w:r>
              <w:rPr>
                <w:rFonts w:ascii="仿宋_GB2312" w:hAnsi="仿宋_GB2312" w:cs="仿宋_GB2312" w:eastAsia="仿宋_GB2312"/>
                <w:sz w:val="16"/>
                <w:color w:val="000000"/>
              </w:rPr>
              <w:t>号）相关内容，开展包头市城区地下水源地保护区（东河部分）划分工作。</w:t>
            </w:r>
          </w:p>
          <w:p>
            <w:pPr>
              <w:pStyle w:val="null5"/>
              <w:spacing w:before="30"/>
              <w:ind w:left="120"/>
              <w:jc w:val="left"/>
            </w:pPr>
            <w:r>
              <w:rPr>
                <w:rFonts w:ascii="仿宋_GB2312" w:hAnsi="仿宋_GB2312" w:cs="仿宋_GB2312" w:eastAsia="仿宋_GB2312"/>
                <w:sz w:val="16"/>
                <w:color w:val="000000"/>
              </w:rPr>
              <w:t>三、项目技术成果</w:t>
            </w:r>
          </w:p>
          <w:p>
            <w:pPr>
              <w:pStyle w:val="null5"/>
              <w:spacing w:before="30"/>
              <w:ind w:left="120"/>
              <w:jc w:val="left"/>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本次项目成果为</w:t>
            </w:r>
            <w:r>
              <w:rPr>
                <w:rFonts w:ascii="仿宋_GB2312" w:hAnsi="仿宋_GB2312" w:cs="仿宋_GB2312" w:eastAsia="仿宋_GB2312"/>
                <w:sz w:val="16"/>
                <w:color w:val="000000"/>
              </w:rPr>
              <w:t>《包头市城市地下水饮用水水源保护区优化调整技术报告（东河部分）》。</w:t>
            </w:r>
          </w:p>
          <w:p>
            <w:pPr>
              <w:pStyle w:val="null5"/>
              <w:spacing w:before="30"/>
              <w:ind w:left="120"/>
              <w:jc w:val="left"/>
            </w:pPr>
            <w:r>
              <w:rPr>
                <w:rFonts w:ascii="仿宋_GB2312" w:hAnsi="仿宋_GB2312" w:cs="仿宋_GB2312" w:eastAsia="仿宋_GB2312"/>
                <w:sz w:val="16"/>
                <w:color w:val="000000"/>
              </w:rPr>
              <w:t>四</w:t>
            </w:r>
            <w:r>
              <w:rPr>
                <w:rFonts w:ascii="仿宋_GB2312" w:hAnsi="仿宋_GB2312" w:cs="仿宋_GB2312" w:eastAsia="仿宋_GB2312"/>
                <w:sz w:val="16"/>
                <w:color w:val="000000"/>
              </w:rPr>
              <w:t>、服务要求</w:t>
            </w:r>
          </w:p>
          <w:p>
            <w:pPr>
              <w:pStyle w:val="null5"/>
              <w:spacing w:before="30"/>
              <w:ind w:left="120" w:firstLine="3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1）按要求完成项目成果，并通过验收评审；</w:t>
            </w:r>
          </w:p>
          <w:p>
            <w:pPr>
              <w:pStyle w:val="null5"/>
              <w:spacing w:before="30"/>
              <w:ind w:left="120" w:firstLine="3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2）供应商针对本项目配备人员不少于6人（含项目负责人及技术负责人各一名，拟派项目负责人及技术负责人需具有水工环或水工环地质专业中级及以上职称）；</w:t>
            </w:r>
          </w:p>
          <w:p>
            <w:pPr>
              <w:pStyle w:val="null5"/>
              <w:spacing w:before="30"/>
              <w:ind w:left="120" w:firstLine="32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3）供应商应安排专人每月向甲方汇报工作进展，保证项目按时推进。</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项目基础分析</w:t>
            </w:r>
          </w:p>
        </w:tc>
        <w:tc>
          <w:tcPr>
            <w:tcW w:type="dxa" w:w="3115"/>
          </w:tcPr>
          <w:p>
            <w:pPr>
              <w:pStyle w:val="null5"/>
              <w:jc w:val="left"/>
            </w:pPr>
            <w:r>
              <w:rPr>
                <w:rFonts w:ascii="仿宋_GB2312" w:hAnsi="仿宋_GB2312" w:cs="仿宋_GB2312" w:eastAsia="仿宋_GB2312"/>
              </w:rPr>
              <w:t>根据收集或掌握的项目区域内地下水环境基础资料（如污染源等信息）、地下水含水层空间分布特征，以及保护区划分需要的基础资料（如含水层特征参数）等情况说明进行评分： 1、阐述详细且符合当地实际的得10-15分； 2、阐述较详细且较符合当地实际的得5-9分； 3、阐述欠详细但基本符合当地实际的得0-4分。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项目调查划分方案设计</w:t>
            </w:r>
          </w:p>
        </w:tc>
        <w:tc>
          <w:tcPr>
            <w:tcW w:type="dxa" w:w="3115"/>
          </w:tcPr>
          <w:p>
            <w:pPr>
              <w:pStyle w:val="null5"/>
              <w:jc w:val="left"/>
            </w:pPr>
            <w:r>
              <w:rPr>
                <w:rFonts w:ascii="仿宋_GB2312" w:hAnsi="仿宋_GB2312" w:cs="仿宋_GB2312" w:eastAsia="仿宋_GB2312"/>
              </w:rPr>
              <w:t>针对本项目服务内容提交项目调查划分方案，针对项目区识别及分析科学性强，调查划分技术路线、方案设计、评估研究方法合理，综合评价： 1、方案内容齐全、结构完整，满足项目需要，具有很好的科学性和合理性，可操作性强，得7-10分； 2、方案内容基本齐全、结构基本完整，基本满足项目需要，科学性、合理性、可操作性一般，得4-6分； 3、方案内容有重大缺失、结构不够完整，不能满足项目需要，科学性和合理性较差，可操作性不强，得0-3分。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项目进度及响应</w:t>
            </w:r>
          </w:p>
        </w:tc>
        <w:tc>
          <w:tcPr>
            <w:tcW w:type="dxa" w:w="3115"/>
          </w:tcPr>
          <w:p>
            <w:pPr>
              <w:pStyle w:val="null5"/>
              <w:jc w:val="left"/>
            </w:pPr>
            <w:r>
              <w:rPr>
                <w:rFonts w:ascii="仿宋_GB2312" w:hAnsi="仿宋_GB2312" w:cs="仿宋_GB2312" w:eastAsia="仿宋_GB2312"/>
              </w:rPr>
              <w:t>供应商应针对本项目进度计划、人员及岗位职责、调查工作实施安排、进度保障措施，提供的各项服务内容完整程度，进行综合评价： 1、进度计划明确，工作内容实施安排合理，保障措施具体得7-10 分； 2、进度计划满足要求，工作内容实施安排较合理，保障措施可行得4-6分； 3、进度计划基本满足要求，工作内容实施安排可行，保障措施基本可行得0-3分。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针对本项目制定的质量保障措施，制定具体的项目质量目标、建立质量管理保障体系、具有调查划分相关设备仪器： 1、质量目标、保障体系、相关设备仪器齐全得7-10分； 2、质量目标、保障体系、相关设备仪器不完整的得4-6分； 3、质量目标、保障体系、无相关设备仪器的得0-3分。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重难点分析</w:t>
            </w:r>
          </w:p>
        </w:tc>
        <w:tc>
          <w:tcPr>
            <w:tcW w:type="dxa" w:w="3115"/>
          </w:tcPr>
          <w:p>
            <w:pPr>
              <w:pStyle w:val="null5"/>
              <w:jc w:val="left"/>
            </w:pPr>
            <w:r>
              <w:rPr>
                <w:rFonts w:ascii="仿宋_GB2312" w:hAnsi="仿宋_GB2312" w:cs="仿宋_GB2312" w:eastAsia="仿宋_GB2312"/>
              </w:rPr>
              <w:t>对项目各项工作把握准确度、对重点与难点阐述清晰度进行综合评价： 1、全面掌握、熟悉，对重点与难点阐述清晰度分析准确，并提出合理化建议的得7-10分； 2、基本掌握、对重点与难点阐述清晰度分析基本到位的得4-6分； 3、一般了解、对重点与难点阐述清晰度分析不全面的得0-3分。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针对本项目现场识别工作安全及环境安全隐患，制定明确的应急响应计划，准备应急物资及资源。根据应急方案进行综合评价： 1、识别全面、应急计划周密、物资准备充分得4-5分； 2、识别较全面、应急计划基本可行、物资准备基本满足需求得2-3分； 3、识别不全面、应急计划不合理、物资准备不满足需求得0-2分。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类似项目经验</w:t>
            </w:r>
          </w:p>
        </w:tc>
        <w:tc>
          <w:tcPr>
            <w:tcW w:type="dxa" w:w="3115"/>
          </w:tcPr>
          <w:p>
            <w:pPr>
              <w:pStyle w:val="null5"/>
              <w:jc w:val="left"/>
            </w:pPr>
            <w:r>
              <w:rPr>
                <w:rFonts w:ascii="仿宋_GB2312" w:hAnsi="仿宋_GB2312" w:cs="仿宋_GB2312" w:eastAsia="仿宋_GB2312"/>
              </w:rPr>
              <w:t>1、供应商2022年2月至今，承担过地下水源地保护区划分类或地下水源地保护区评估类项目的，每一项得3分，本项最高15分； 评审依据：需提供项目合同或任务书等相关证明材料的原件彩色扫描件，缺项不得分。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1、拟派项目负责人具有水工环或水工环地质正高级职称的得4分；具有副高级职称的得1分； 2、拟派项目技术负责人具有水工环或水工环地质正高级职称的得4分；具有副高级职称的得1分； 本项最多得8分。 评审依据：提供人员职称证明和相关资格证明文件原件彩色扫描件；并须提供以上人员的开标前一年内任意连续3个月的社保缴纳证明和职称证书复印件并加盖公章，否则不计分。同一人不重复计分。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项目团队成员</w:t>
            </w:r>
          </w:p>
        </w:tc>
        <w:tc>
          <w:tcPr>
            <w:tcW w:type="dxa" w:w="3115"/>
          </w:tcPr>
          <w:p>
            <w:pPr>
              <w:pStyle w:val="null5"/>
              <w:jc w:val="left"/>
            </w:pPr>
            <w:r>
              <w:rPr>
                <w:rFonts w:ascii="仿宋_GB2312" w:hAnsi="仿宋_GB2312" w:cs="仿宋_GB2312" w:eastAsia="仿宋_GB2312"/>
              </w:rPr>
              <w:t>拟派项目成员具有5名及以上（含5名）水工环或水工环地质专业高级职称的，得7分；具有3名及以上（含3名）水工环或水工环地质专业高级职称的，得3分；1-3（含1名）名水工环或水工环地质专业高级职称的，得1分；其余不得分。 评审依据：提供人员职称证明和相关资格证明文件原件彩色扫描件；并须提供以上人员的开标前一年内任意连续3个月的社保缴纳证明和职称证书复印件并加盖公章，否则不计分。同一人不重复计分。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2492"/>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