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主院区院前急救外包服务采购项目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包头市中心医院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内蒙古凯诚项目管理有限公司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BTZCS-C-F-250015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内蒙古凯诚项目管理有限公司</w:t>
      </w:r>
      <w:r>
        <w:rPr>
          <w:rFonts w:ascii="仿宋_GB2312" w:hAnsi="仿宋_GB2312" w:cs="仿宋_GB2312" w:eastAsia="仿宋_GB2312"/>
        </w:rPr>
        <w:t xml:space="preserve"> 受 </w:t>
      </w:r>
      <w:r>
        <w:rPr>
          <w:rFonts w:ascii="仿宋_GB2312" w:hAnsi="仿宋_GB2312" w:cs="仿宋_GB2312" w:eastAsia="仿宋_GB2312"/>
        </w:rPr>
        <w:t>包头市中心医院</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主院区院前急救外包服务采购项目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主院区院前急救外包服务采购项目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BTZCS-C-F-250015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包政采计划[2025]00296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主院区院前急救外包服务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1、资质要求：供应商须具有有效期内的《医疗机构执业许可证》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内蒙古凯诚项目管理有限公司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内蒙古自治区包头市青山区哈达道与先锋道交叉口幸福路3号街坊原二机工学院1号楼402</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014030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吴赵龙</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15391003518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包头市中心医院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包头市东河区环城路61号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李健</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6955894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代理服务费收费标准：参照内蒙古自治区工程建设协会《内蒙古自治区建设工程招标代理服务收费指导意见》内工建协〔2022〕34号文件中规定的收费标准收取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其他说明： 1、报价说明：供应商投标报价均不得超过采购预算，超过采购预算的视为无效供应商。 2、由于竞争性磋商文件中《合同与验收》为固定模板，无法修改。本项目的合同条款及格式以实际签订内容为准。 3、本项目为电子投标，制作响应文件时请到自治区采购网首页自行学习操作方法（网站上有操作视频），如遇问题无法解决可直接联系软件公司咨询，包头技术支持0472-228689，内蒙古自治区财政厅技术支持：0471-4192304，内蒙古自治区金财公司技术支持0471-4000470101。 4、由于本项目采用电子系统采购，竞争性磋商文件为系统模板，根据具体项目的情况无法准确描述，部分内容只可填空，不可更改。所以竞争性磋商文件中有不适用之处，敬请见谅。如有问题，请及时联系采购代理机构。 5、本项目为远程开标，供应商需提前半小时登录系统签到，开标时远程解锁、确认。开标时，各供应商必须保证电脑可正常登陆、解密及签章。本项目设置解密、签章确认时限均为30分钟，如供应商在规定时间内无法解密或签章，造成废标的，采购人及采购代理机构不承担任何责任。 6、关于纸质响应文件的要求：供应商中标后，须于中标结果公告后提供与电子响应文件内容完全一致的纸质响应文件3份（用于备案存档）。纸质响应文件要求由响应文件制作工具直接打印（内容必须完整，后附开标一览表及分项报价表）、装订后并加盖单位公章，如与电子版响应文件内容不一致所引起一切法律责任及不良后果，由供应商自行承担，并记入诚信档案。纸质响应文件中所有要求盖章、签字的地方都按“竞争性磋商文件”中“签字、盖章要求”执行。打印注意事项：纸质响应文件要以胶装形式牢固装订。按竞争性磋商文件中响应文件格式”的顺序装订成册，牢固装订是指装订好的响应文件不至于在翻阅时散开或用简单的方式将其中一项取出或将其他文件插入，各种活页装订、打孔式、塑料方便式书脊插入装订的不认为是牢固装订。</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包头市中心医院</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内蒙古凯诚项目管理有限公司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包头市中心医院主院区院前急救外包服务采购项目，为需要急救的患者提供专业驾驶员及搬抬服务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服务时间：自合同签订之日起1年</w:t>
              <w:br/>
              <w:t>服务地点：包头市中心医院</w:t>
              <w:br/>
              <w:t>付款方式：1期：支付比例25%，按季度结算。</w:t>
              <w:br/>
              <w:t>2期：支付比例25%，按季度结算。</w:t>
              <w:br/>
              <w:t>3期：支付比例25%，按季度结算。</w:t>
              <w:br/>
              <w:t>4期：支付比例25%，按季度结算。</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标的名称：主院区院前急救外包服务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（一）人员要求</w:t>
            </w:r>
            <w:r>
              <w:br/>
            </w:r>
            <w:r>
              <w:rPr>
                <w:rFonts w:ascii="仿宋_GB2312" w:hAnsi="仿宋_GB2312" w:cs="仿宋_GB2312" w:eastAsia="仿宋_GB2312"/>
              </w:rPr>
              <w:t xml:space="preserve"> 1.驾驶员要求：</w:t>
            </w:r>
            <w:r>
              <w:br/>
            </w:r>
            <w:r>
              <w:rPr>
                <w:rFonts w:ascii="仿宋_GB2312" w:hAnsi="仿宋_GB2312" w:cs="仿宋_GB2312" w:eastAsia="仿宋_GB2312"/>
              </w:rPr>
              <w:t xml:space="preserve"> （1）供应商派驻司机年龄25岁至45岁之间，身体健康，无残疾，持有中华人民共和国驾驶执照，符合国家法定驾驶年龄，具有5年以上驾龄，并出具交管部门开具的2年内没有重大违规驾驶行为的证明，驾驶技术娴熟。采购人提出更换驾驶员的，供应商应当无条件答应并更换采购人认可的驾驶员。</w:t>
            </w:r>
            <w:r>
              <w:br/>
            </w:r>
            <w:r>
              <w:rPr>
                <w:rFonts w:ascii="仿宋_GB2312" w:hAnsi="仿宋_GB2312" w:cs="仿宋_GB2312" w:eastAsia="仿宋_GB2312"/>
              </w:rPr>
              <w:t xml:space="preserve"> （2）每辆车均需安排两名驾驶员轮岗。</w:t>
            </w:r>
            <w:r>
              <w:br/>
            </w:r>
            <w:r>
              <w:rPr>
                <w:rFonts w:ascii="仿宋_GB2312" w:hAnsi="仿宋_GB2312" w:cs="仿宋_GB2312" w:eastAsia="仿宋_GB2312"/>
              </w:rPr>
              <w:t xml:space="preserve"> （3）司机须具备担架工必备技能，以备在执行任务过程中承担担架工职责，同时需严格遵守安全操作规程，使用合适的搬抬工具和设备，如担架、轮椅等，并确保其处于良好的工作状态。在搬抬过程中，注意观察周围环境，避免碰撞、摔倒等意外事故的发生。</w:t>
            </w:r>
            <w:r>
              <w:br/>
            </w:r>
            <w:r>
              <w:rPr>
                <w:rFonts w:ascii="仿宋_GB2312" w:hAnsi="仿宋_GB2312" w:cs="仿宋_GB2312" w:eastAsia="仿宋_GB2312"/>
              </w:rPr>
              <w:t xml:space="preserve"> （4）服务人员每天测量体温、血压，并做好记录及报备，不得带病工作。</w:t>
            </w:r>
            <w:r>
              <w:br/>
            </w:r>
            <w:r>
              <w:rPr>
                <w:rFonts w:ascii="仿宋_GB2312" w:hAnsi="仿宋_GB2312" w:cs="仿宋_GB2312" w:eastAsia="仿宋_GB2312"/>
              </w:rPr>
              <w:t xml:space="preserve"> 2.担架工要求：</w:t>
            </w:r>
            <w:r>
              <w:br/>
            </w:r>
            <w:r>
              <w:rPr>
                <w:rFonts w:ascii="仿宋_GB2312" w:hAnsi="仿宋_GB2312" w:cs="仿宋_GB2312" w:eastAsia="仿宋_GB2312"/>
              </w:rPr>
              <w:t xml:space="preserve"> （1）供应商派驻的担架工年龄25岁至45岁之间，身体健康，无残疾，具备良好的体能和耐力，能够承受频繁搬抬重物的工作强度。无影响搬抬工作的慢性疾病或肢体残疾，定期进行健康体检。</w:t>
            </w:r>
            <w:r>
              <w:br/>
            </w:r>
            <w:r>
              <w:rPr>
                <w:rFonts w:ascii="仿宋_GB2312" w:hAnsi="仿宋_GB2312" w:cs="仿宋_GB2312" w:eastAsia="仿宋_GB2312"/>
              </w:rPr>
              <w:t xml:space="preserve"> （2）供应商派驻的担架工需熟练掌握正确的搬抬技巧和方法，如单人搬抬、双人搬抬、多人协作搬抬等，避免在搬抬过程中对患者造成二次伤害。了解不同伤病患者的身体状况和搬抬注意事项，如骨折、瘫痪、昏迷等患者的特殊搬抬要求。</w:t>
            </w:r>
            <w:r>
              <w:br/>
            </w:r>
            <w:r>
              <w:rPr>
                <w:rFonts w:ascii="仿宋_GB2312" w:hAnsi="仿宋_GB2312" w:cs="仿宋_GB2312" w:eastAsia="仿宋_GB2312"/>
              </w:rPr>
              <w:t xml:space="preserve"> （3）供应商派驻的担架工需严格遵守安全操作规程，使用合适的搬抬工具和设备，如担架、轮椅等，并确保其处于良好的工作状态。在搬抬过程中，注意观察周围环境，避免碰撞、摔倒等意外事故的发生。</w:t>
            </w:r>
            <w:r>
              <w:br/>
            </w:r>
            <w:r>
              <w:rPr>
                <w:rFonts w:ascii="仿宋_GB2312" w:hAnsi="仿宋_GB2312" w:cs="仿宋_GB2312" w:eastAsia="仿宋_GB2312"/>
              </w:rPr>
              <w:t xml:space="preserve"> （4）供应商派驻的担架工需具备一定的应急处理能力，能够在突发情况下迅速采取正确的措施，如患者病情突然恶化、搬抬过程中遇到意外阻碍等。接受过基本的急救知识培训，如心肺复苏、止血包扎等，以便在必要时能够提供初步的医疗救助。</w:t>
            </w:r>
            <w:r>
              <w:br/>
            </w:r>
            <w:r>
              <w:rPr>
                <w:rFonts w:ascii="仿宋_GB2312" w:hAnsi="仿宋_GB2312" w:cs="仿宋_GB2312" w:eastAsia="仿宋_GB2312"/>
              </w:rPr>
              <w:t xml:space="preserve"> （5）每辆车均需安排两名担架工轮岗。</w:t>
            </w:r>
            <w:r>
              <w:br/>
            </w:r>
            <w:r>
              <w:rPr>
                <w:rFonts w:ascii="仿宋_GB2312" w:hAnsi="仿宋_GB2312" w:cs="仿宋_GB2312" w:eastAsia="仿宋_GB2312"/>
              </w:rPr>
              <w:t xml:space="preserve"> （6）担架工需每天测量体温、血压，并做好记录及报备，不得带病工作。</w:t>
            </w:r>
            <w:r>
              <w:br/>
            </w:r>
            <w:r>
              <w:rPr>
                <w:rFonts w:ascii="仿宋_GB2312" w:hAnsi="仿宋_GB2312" w:cs="仿宋_GB2312" w:eastAsia="仿宋_GB2312"/>
              </w:rPr>
              <w:t xml:space="preserve"> （7）担架工需具备良好的服务意识，尊重患者的人格和隐私，保护患者的个人物品。与患者及其家属保持良好的沟通，耐心解答他们的疑问，提供必要的帮助和支持。</w:t>
            </w:r>
            <w:r>
              <w:br/>
            </w:r>
            <w:r>
              <w:rPr>
                <w:rFonts w:ascii="仿宋_GB2312" w:hAnsi="仿宋_GB2312" w:cs="仿宋_GB2312" w:eastAsia="仿宋_GB2312"/>
              </w:rPr>
              <w:t xml:space="preserve"> （8）供应商须具备成熟的培训体系及培训制度，定期对担架工进行专业性培训，确保服务安全。</w:t>
            </w:r>
            <w:r>
              <w:br/>
            </w:r>
            <w:r>
              <w:rPr>
                <w:rFonts w:ascii="仿宋_GB2312" w:hAnsi="仿宋_GB2312" w:cs="仿宋_GB2312" w:eastAsia="仿宋_GB2312"/>
              </w:rPr>
              <w:t xml:space="preserve"> （二）服务要求</w:t>
            </w:r>
            <w:r>
              <w:br/>
            </w:r>
            <w:r>
              <w:rPr>
                <w:rFonts w:ascii="仿宋_GB2312" w:hAnsi="仿宋_GB2312" w:cs="仿宋_GB2312" w:eastAsia="仿宋_GB2312"/>
              </w:rPr>
              <w:t xml:space="preserve"> 1.采购人提供转运车辆，但转运车辆所有的运营管理由供应商承担，包含转运车辆的油料、维修保养等费用，需时刻保证车辆良好运行状态；</w:t>
            </w:r>
            <w:r>
              <w:br/>
            </w:r>
            <w:r>
              <w:rPr>
                <w:rFonts w:ascii="仿宋_GB2312" w:hAnsi="仿宋_GB2312" w:cs="仿宋_GB2312" w:eastAsia="仿宋_GB2312"/>
              </w:rPr>
              <w:t xml:space="preserve"> 2.供应商需按时提交车辆保养计划，车辆维修、保养时限应避开用车高峰，两辆车不可同时保养，需要保养的车辆需提前报备120指挥中心，保养结束后，立即返回，报备120指挥中心，车辆恢复正常值守，可以承接转运任务。</w:t>
            </w:r>
            <w:r>
              <w:br/>
            </w:r>
            <w:r>
              <w:rPr>
                <w:rFonts w:ascii="仿宋_GB2312" w:hAnsi="仿宋_GB2312" w:cs="仿宋_GB2312" w:eastAsia="仿宋_GB2312"/>
              </w:rPr>
              <w:t xml:space="preserve"> 3.车辆、人员的安全保障均由供应商负责保障，且转运过程中随车医护人员的安全均由供应商负责；</w:t>
            </w:r>
            <w:r>
              <w:br/>
            </w:r>
            <w:r>
              <w:rPr>
                <w:rFonts w:ascii="仿宋_GB2312" w:hAnsi="仿宋_GB2312" w:cs="仿宋_GB2312" w:eastAsia="仿宋_GB2312"/>
              </w:rPr>
              <w:t xml:space="preserve"> 4.供应商需将服务车辆停放在采购人规定位置。</w:t>
            </w:r>
            <w:r>
              <w:br/>
            </w:r>
            <w:r>
              <w:rPr>
                <w:rFonts w:ascii="仿宋_GB2312" w:hAnsi="仿宋_GB2312" w:cs="仿宋_GB2312" w:eastAsia="仿宋_GB2312"/>
              </w:rPr>
              <w:t xml:space="preserve"> 5.供应商在接到采购人的急诊任务后，3分钟内按照采购人工作人员规定位置出发（以地图导航最近的路线作参照），无特殊情况未按时出发的，将按照相关规定进行处罚；</w:t>
            </w:r>
            <w:r>
              <w:br/>
            </w:r>
            <w:r>
              <w:rPr>
                <w:rFonts w:ascii="仿宋_GB2312" w:hAnsi="仿宋_GB2312" w:cs="仿宋_GB2312" w:eastAsia="仿宋_GB2312"/>
              </w:rPr>
              <w:t xml:space="preserve"> 6.供应商司机人员不得以任何理由或借口向随车患者家属收取任何费用，一经举报将严肃处理。</w:t>
            </w:r>
            <w:r>
              <w:br/>
            </w:r>
            <w:r>
              <w:rPr>
                <w:rFonts w:ascii="仿宋_GB2312" w:hAnsi="仿宋_GB2312" w:cs="仿宋_GB2312" w:eastAsia="仿宋_GB2312"/>
              </w:rPr>
              <w:t xml:space="preserve"> 7.供应商应当专车专用，院前急救车辆不得随意报停。</w:t>
            </w:r>
            <w:r>
              <w:br/>
            </w:r>
            <w:r>
              <w:rPr>
                <w:rFonts w:ascii="仿宋_GB2312" w:hAnsi="仿宋_GB2312" w:cs="仿宋_GB2312" w:eastAsia="仿宋_GB2312"/>
              </w:rPr>
              <w:t xml:space="preserve"> 8.驾驶员应做到文明礼貌行车，不良路况平稳驾驶，切实保证行车安全。</w:t>
            </w:r>
            <w:r>
              <w:br/>
            </w:r>
            <w:r>
              <w:rPr>
                <w:rFonts w:ascii="仿宋_GB2312" w:hAnsi="仿宋_GB2312" w:cs="仿宋_GB2312" w:eastAsia="仿宋_GB2312"/>
              </w:rPr>
              <w:t xml:space="preserve"> 9.供应商保证向采购人派遣政治合格、思想稳定、业务技能熟练的司机并经采购人审核认可。</w:t>
            </w:r>
            <w:r>
              <w:br/>
            </w:r>
            <w:r>
              <w:rPr>
                <w:rFonts w:ascii="仿宋_GB2312" w:hAnsi="仿宋_GB2312" w:cs="仿宋_GB2312" w:eastAsia="仿宋_GB2312"/>
              </w:rPr>
              <w:t xml:space="preserve"> 10.供应商保证司机配合采购人工作，且不干涉采购人工作，并对患者信息严格保密，不得泄露给殡葬人员，如有发现必定严惩，若发现有经济往来，交由行政部门处理。</w:t>
            </w:r>
            <w:r>
              <w:br/>
            </w:r>
            <w:r>
              <w:rPr>
                <w:rFonts w:ascii="仿宋_GB2312" w:hAnsi="仿宋_GB2312" w:cs="仿宋_GB2312" w:eastAsia="仿宋_GB2312"/>
              </w:rPr>
              <w:t xml:space="preserve"> 11.时刻保证车辆和司机处于良好状态，保证车辆车内外干净整洁，严格执行采购人院感管理的要求，营造良好的救护车环境。</w:t>
            </w:r>
            <w:r>
              <w:br/>
            </w:r>
            <w:r>
              <w:rPr>
                <w:rFonts w:ascii="仿宋_GB2312" w:hAnsi="仿宋_GB2312" w:cs="仿宋_GB2312" w:eastAsia="仿宋_GB2312"/>
              </w:rPr>
              <w:t xml:space="preserve"> 12.供应商负责做好车辆保养和维修工作，每日交班检查车辆油箱、轮胎、刹车等部位，每次任务时再行检查，确保车辆完好再做任务，不得开带病车。</w:t>
            </w:r>
            <w:r>
              <w:br/>
            </w:r>
            <w:r>
              <w:rPr>
                <w:rFonts w:ascii="仿宋_GB2312" w:hAnsi="仿宋_GB2312" w:cs="仿宋_GB2312" w:eastAsia="仿宋_GB2312"/>
              </w:rPr>
              <w:t xml:space="preserve"> 13.采购人收费系统向患者方收取出车费用。供应商驾驶人员不得以任何理由或借口向患方收取任何费用或者财物。驾驶员一律不得接受患者的钱物，不得有涉及医患关系等的不良言语和行为。</w:t>
            </w:r>
            <w:r>
              <w:br/>
            </w:r>
            <w:r>
              <w:rPr>
                <w:rFonts w:ascii="仿宋_GB2312" w:hAnsi="仿宋_GB2312" w:cs="仿宋_GB2312" w:eastAsia="仿宋_GB2312"/>
              </w:rPr>
              <w:t xml:space="preserve"> 14.车组服务人员（含司机、担架工）每车不得低于4人，具有充分的转运急救经验，车组服务人员，全年无休，保障每天24小时在岗。（供应商须提供承诺函，格式自拟）</w:t>
            </w:r>
            <w:r>
              <w:br/>
            </w:r>
            <w:r>
              <w:rPr>
                <w:rFonts w:ascii="仿宋_GB2312" w:hAnsi="仿宋_GB2312" w:cs="仿宋_GB2312" w:eastAsia="仿宋_GB2312"/>
              </w:rPr>
              <w:t xml:space="preserve"> 15.除购置车辆必须保险外，供应商仍须为转运车辆购置车辆三者险、车辆座位险、驾驶人员意外险、担架险，服务期内转运车辆所购置保险必须为在保状态。（供应商须提供相应证明文件或承诺函，格式自拟）</w:t>
            </w:r>
            <w:r>
              <w:br/>
            </w:r>
            <w:r>
              <w:rPr>
                <w:rFonts w:ascii="仿宋_GB2312" w:hAnsi="仿宋_GB2312" w:cs="仿宋_GB2312" w:eastAsia="仿宋_GB2312"/>
              </w:rPr>
              <w:t xml:space="preserve"> 16.采购人提供车组服务人员值班室。</w:t>
            </w:r>
            <w:r>
              <w:br/>
            </w:r>
            <w:r>
              <w:rPr>
                <w:rFonts w:ascii="仿宋_GB2312" w:hAnsi="仿宋_GB2312" w:cs="仿宋_GB2312" w:eastAsia="仿宋_GB2312"/>
              </w:rPr>
              <w:t xml:space="preserve"> （三）保密要求</w:t>
            </w:r>
            <w:r>
              <w:br/>
            </w:r>
            <w:r>
              <w:rPr>
                <w:rFonts w:ascii="仿宋_GB2312" w:hAnsi="仿宋_GB2312" w:cs="仿宋_GB2312" w:eastAsia="仿宋_GB2312"/>
              </w:rPr>
              <w:t xml:space="preserve"> 1、在项目进行过程中，中标方对所获得的有关需求方或属于需求方的各类资料及其他被认为是秘密的信息，未经需求方同意，不得泄露给任何第三方。</w:t>
            </w:r>
            <w:r>
              <w:br/>
            </w:r>
            <w:r>
              <w:rPr>
                <w:rFonts w:ascii="仿宋_GB2312" w:hAnsi="仿宋_GB2312" w:cs="仿宋_GB2312" w:eastAsia="仿宋_GB2312"/>
              </w:rPr>
              <w:t xml:space="preserve"> 2、任何一方为本项目需要，向任何人透露有关资料或信息且认为是其秘密信息，应事先予以注明。</w:t>
            </w:r>
            <w:r>
              <w:br/>
            </w:r>
            <w:r>
              <w:rPr>
                <w:rFonts w:ascii="仿宋_GB2312" w:hAnsi="仿宋_GB2312" w:cs="仿宋_GB2312" w:eastAsia="仿宋_GB2312"/>
              </w:rPr>
              <w:t xml:space="preserve"> 3、上述秘密信息，中标方只能将该信息用于服务本项目，而且只能由相应的人员使用。</w:t>
            </w:r>
            <w:r>
              <w:br/>
            </w:r>
            <w:r>
              <w:rPr>
                <w:rFonts w:ascii="仿宋_GB2312" w:hAnsi="仿宋_GB2312" w:cs="仿宋_GB2312" w:eastAsia="仿宋_GB2312"/>
              </w:rPr>
              <w:t xml:space="preserve"> 4、中标方应遵循需求方各项安全保密制度和规章，所有信息数据在迁移、处理等过程中严禁私自复制、传输，完成任务后，档案信息数据必须物理清除。</w:t>
            </w:r>
            <w:r>
              <w:br/>
            </w:r>
            <w:r>
              <w:rPr>
                <w:rFonts w:ascii="仿宋_GB2312" w:hAnsi="仿宋_GB2312" w:cs="仿宋_GB2312" w:eastAsia="仿宋_GB2312"/>
              </w:rPr>
              <w:t xml:space="preserve"> 5、在投标文件中应对该项目内容提交书面承诺书，作为签订项目保密合同的依据，并作为合同密不可分的一部分。</w:t>
            </w:r>
            <w:r>
              <w:br/>
            </w:r>
            <w:r>
              <w:rPr>
                <w:rFonts w:ascii="仿宋_GB2312" w:hAnsi="仿宋_GB2312" w:cs="仿宋_GB2312" w:eastAsia="仿宋_GB2312"/>
              </w:rPr>
              <w:t xml:space="preserve"> （四）处罚标准及措施</w:t>
            </w:r>
            <w:r>
              <w:br/>
            </w:r>
            <w:r>
              <w:rPr>
                <w:rFonts w:ascii="仿宋_GB2312" w:hAnsi="仿宋_GB2312" w:cs="仿宋_GB2312" w:eastAsia="仿宋_GB2312"/>
              </w:rPr>
              <w:t xml:space="preserve"> 1.凡是因供应商提供的服务达不到采购人的服务标准或要求，或者有投诉，采购人有权解除合同并要求供应商承担违约责任。</w:t>
            </w:r>
            <w:r>
              <w:br/>
            </w:r>
            <w:r>
              <w:rPr>
                <w:rFonts w:ascii="仿宋_GB2312" w:hAnsi="仿宋_GB2312" w:cs="仿宋_GB2312" w:eastAsia="仿宋_GB2312"/>
              </w:rPr>
              <w:t xml:space="preserve"> 2.供应商履行合同义务不符合约定的，每次/天按当月结算总金额的1%进行处罚。合同期内，供应商违约行为或者投诉累计达到10次或者10天，采购人有权解除合同。</w:t>
            </w:r>
            <w:r>
              <w:br/>
            </w:r>
            <w:r>
              <w:rPr>
                <w:rFonts w:ascii="仿宋_GB2312" w:hAnsi="仿宋_GB2312" w:cs="仿宋_GB2312" w:eastAsia="仿宋_GB2312"/>
              </w:rPr>
              <w:t xml:space="preserve"> 3.供应商不能履行合同规定的服务时，供应商需至少提前三十天告知采购人，并向采购人偿付五万元违约金。</w:t>
            </w:r>
            <w:r>
              <w:br/>
            </w:r>
            <w:r>
              <w:rPr>
                <w:rFonts w:ascii="仿宋_GB2312" w:hAnsi="仿宋_GB2312" w:cs="仿宋_GB2312" w:eastAsia="仿宋_GB2312"/>
              </w:rPr>
              <w:t xml:space="preserve"> （五）投标供应商应具备全市区服务能力，除中心医院外应具备全市其他服务站点，以确保服务车辆氧气不足及车辆突发故障时，沿途提供氧气保障及调派车辆继续完成服务。</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资质要求</w:t>
            </w:r>
          </w:p>
        </w:tc>
        <w:tc>
          <w:tcPr>
            <w:tcW w:type="dxa" w:w="4984"/>
          </w:tcPr>
          <w:p>
            <w:pPr>
              <w:pStyle w:val="null5"/>
              <w:jc w:val="left"/>
            </w:pPr>
            <w:r>
              <w:rPr>
                <w:rFonts w:ascii="仿宋_GB2312" w:hAnsi="仿宋_GB2312" w:cs="仿宋_GB2312" w:eastAsia="仿宋_GB2312"/>
              </w:rPr>
              <w:t>供应商须具有有效期内的《医疗机构执业许可证》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投标人提供的服务方案进行评审，方案结构规范合理,内容全面详实,紧密贴合采购人的实际需求。①服务目标；②服务重点；③服务计划；④服务流程；⑤服务团队等方面进行评审，本项最高得10分。每缺少一项内容扣2分，每有一处存在缺陷或不足、内容不完整或不符合项目实际情况的扣1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服务管控方案</w:t>
            </w:r>
          </w:p>
        </w:tc>
        <w:tc>
          <w:tcPr>
            <w:tcW w:type="dxa" w:w="3115"/>
          </w:tcPr>
          <w:p>
            <w:pPr>
              <w:pStyle w:val="null5"/>
              <w:jc w:val="left"/>
            </w:pPr>
            <w:r>
              <w:rPr>
                <w:rFonts w:ascii="仿宋_GB2312" w:hAnsi="仿宋_GB2312" w:cs="仿宋_GB2312" w:eastAsia="仿宋_GB2312"/>
              </w:rPr>
              <w:t>根据投标人提供的服务管控方案进行评审，①规章制度；②应急措施；③备用方案方面进行评审，本项最高得6分。每缺少一项内容扣2分，每有一处存在缺陷或不足、内容不完整或不符合项目实际情况的扣1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服务保障措施</w:t>
            </w:r>
          </w:p>
        </w:tc>
        <w:tc>
          <w:tcPr>
            <w:tcW w:type="dxa" w:w="3115"/>
          </w:tcPr>
          <w:p>
            <w:pPr>
              <w:pStyle w:val="null5"/>
              <w:jc w:val="left"/>
            </w:pPr>
            <w:r>
              <w:rPr>
                <w:rFonts w:ascii="仿宋_GB2312" w:hAnsi="仿宋_GB2312" w:cs="仿宋_GB2312" w:eastAsia="仿宋_GB2312"/>
              </w:rPr>
              <w:t>根据投标人提供的服务保障措施进行评审。①服务质量改进措施；②服务质量保障措施；③质量管理措施；④信息保密措施方面进行评审，本项最高得8分。每缺少一项内容扣2分，每有一处存在缺陷或不足、内容不完整或不符合项目实际情况的扣1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培训和考核制度</w:t>
            </w:r>
          </w:p>
        </w:tc>
        <w:tc>
          <w:tcPr>
            <w:tcW w:type="dxa" w:w="3115"/>
          </w:tcPr>
          <w:p>
            <w:pPr>
              <w:pStyle w:val="null5"/>
              <w:jc w:val="left"/>
            </w:pPr>
            <w:r>
              <w:rPr>
                <w:rFonts w:ascii="仿宋_GB2312" w:hAnsi="仿宋_GB2312" w:cs="仿宋_GB2312" w:eastAsia="仿宋_GB2312"/>
              </w:rPr>
              <w:t>根据投标人提供的培训和考核制度服务进行评审。①人员培训和考核制度；②培训的目标及内容；③培训方式；④考核内容设定等方面进行评审，本项最高得8分。每缺少一项内容扣2分，每有一处存在缺陷或不足、内容不完整或不符合项目实际情况的扣1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服务措施</w:t>
            </w:r>
          </w:p>
        </w:tc>
        <w:tc>
          <w:tcPr>
            <w:tcW w:type="dxa" w:w="3115"/>
          </w:tcPr>
          <w:p>
            <w:pPr>
              <w:pStyle w:val="null5"/>
              <w:jc w:val="left"/>
            </w:pPr>
            <w:r>
              <w:rPr>
                <w:rFonts w:ascii="仿宋_GB2312" w:hAnsi="仿宋_GB2312" w:cs="仿宋_GB2312" w:eastAsia="仿宋_GB2312"/>
              </w:rPr>
              <w:t>根据投标人提供的服务措施进行评审。①项目管理；②信息管理；③组织协调措施；④管理系统措施等方面进行综合评审，本项最高得8分。每缺少一项内容扣2分，每有一处存在缺陷或不足、内容不完整或不符合项目实际情况的扣1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驾驶员管理制度</w:t>
            </w:r>
          </w:p>
        </w:tc>
        <w:tc>
          <w:tcPr>
            <w:tcW w:type="dxa" w:w="3115"/>
          </w:tcPr>
          <w:p>
            <w:pPr>
              <w:pStyle w:val="null5"/>
              <w:jc w:val="left"/>
            </w:pPr>
            <w:r>
              <w:rPr>
                <w:rFonts w:ascii="仿宋_GB2312" w:hAnsi="仿宋_GB2312" w:cs="仿宋_GB2312" w:eastAsia="仿宋_GB2312"/>
              </w:rPr>
              <w:t>根据投标人针对本项目提供的驾驶员管理制度，①日常考勤；②驾驶行为规范；③礼仪规范；④违章与事故处理；⑤监督考核等方面进行综合评审，本项最高得10分。每缺少一项内容扣2分，每有一处存在缺陷或不足、内容不完整或不符合项目实际情况的扣1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安全保障方案</w:t>
            </w:r>
          </w:p>
        </w:tc>
        <w:tc>
          <w:tcPr>
            <w:tcW w:type="dxa" w:w="3115"/>
          </w:tcPr>
          <w:p>
            <w:pPr>
              <w:pStyle w:val="null5"/>
              <w:jc w:val="left"/>
            </w:pPr>
            <w:r>
              <w:rPr>
                <w:rFonts w:ascii="仿宋_GB2312" w:hAnsi="仿宋_GB2312" w:cs="仿宋_GB2312" w:eastAsia="仿宋_GB2312"/>
              </w:rPr>
              <w:t>根据投标人针对本项目提供的安全障方案，①驾驶人及乘车人安全保障措施；②车辆使用过程安全保障措施；③车辆行驶过程安全保障措施等方面进行综合评审，本项最高得6分。每缺少一项内容扣2分，每有一处存在缺陷或不足、内容不完整或不符合项目实际情况的扣1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根据投标人的应急预案进行评价：包含①后勤保障及应急处理方案；②各种恶劣天气的应急预案；③道路维修堵塞的应急预案；④突发疫情的应急预案；⑤突发救护车事故的应急预案；⑥突发转送搬抬事故的应急预案；⑦突发公共卫生事件的应急预案。本项最高得14分。每缺少一项内容扣2分，每有一处存在缺陷或不足、内容不完整或不符合项目实际情况的扣1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业绩情况</w:t>
            </w:r>
          </w:p>
        </w:tc>
        <w:tc>
          <w:tcPr>
            <w:tcW w:type="dxa" w:w="3115"/>
          </w:tcPr>
          <w:p>
            <w:pPr>
              <w:pStyle w:val="null5"/>
              <w:jc w:val="left"/>
            </w:pPr>
            <w:r>
              <w:rPr>
                <w:rFonts w:ascii="仿宋_GB2312" w:hAnsi="仿宋_GB2312" w:cs="仿宋_GB2312" w:eastAsia="仿宋_GB2312"/>
              </w:rPr>
              <w:t>供应商近三年（2022年01月至今）承担过类似项目的业绩，有一项得3分，最多得15分，不提供则不得分。（提供合同扫描件，不提供或提供内容不清晰无法辨认的均不得分）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投标人的服务承诺进行评价：包含①服务承诺；②对于突发事件的服务承诺；③服务标准；④服务响应时间；⑤服务人员调整。本项最高得5分。每缺少一项内容扣1分，每有一处存在缺陷或不足、内容不完整或不符合项目实际情况的扣0.5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