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昆都仑区“十五五”规划基本思路及规划纲要编制服务</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包头市昆都仑区发展和改革委员会</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内蒙古博益招标代理有限公司</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BTZCKQS-G-F-250002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内蒙古博益招标代理有限公司</w:t>
      </w:r>
      <w:r>
        <w:rPr>
          <w:rFonts w:ascii="仿宋_GB2312" w:hAnsi="仿宋_GB2312" w:cs="仿宋_GB2312" w:eastAsia="仿宋_GB2312"/>
        </w:rPr>
        <w:t xml:space="preserve"> 受 </w:t>
      </w:r>
      <w:r>
        <w:rPr>
          <w:rFonts w:ascii="仿宋_GB2312" w:hAnsi="仿宋_GB2312" w:cs="仿宋_GB2312" w:eastAsia="仿宋_GB2312"/>
        </w:rPr>
        <w:t>包头市昆都仑区发展和改革委员会</w:t>
      </w:r>
      <w:r>
        <w:rPr>
          <w:rFonts w:ascii="仿宋_GB2312" w:hAnsi="仿宋_GB2312" w:cs="仿宋_GB2312" w:eastAsia="仿宋_GB2312"/>
        </w:rPr>
        <w:t xml:space="preserve"> 委托，采用公开招标方式组织采购 </w:t>
      </w:r>
      <w:r>
        <w:rPr>
          <w:rFonts w:ascii="仿宋_GB2312" w:hAnsi="仿宋_GB2312" w:cs="仿宋_GB2312" w:eastAsia="仿宋_GB2312"/>
        </w:rPr>
        <w:t>昆都仑区“十五五”规划基本思路及规划纲要编制服务</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昆都仑区“十五五”规划基本思路及规划纲要编制服务</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BTZCKQS-G-F-250002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包政采计划[2025]昆区00054</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昆都仑区“十五五”规划基本思路及规划纲要编制服务</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1,250,000.00</w:t>
            </w:r>
          </w:p>
        </w:tc>
        <w:tc>
          <w:tcPr>
            <w:tcW w:type="dxa" w:w="831"/>
          </w:tcPr>
          <w:p>
            <w:pPr>
              <w:pStyle w:val="null5"/>
              <w:jc w:val="left"/>
            </w:pPr>
            <w:r>
              <w:rPr>
                <w:rFonts w:ascii="仿宋_GB2312" w:hAnsi="仿宋_GB2312" w:cs="仿宋_GB2312" w:eastAsia="仿宋_GB2312"/>
              </w:rPr>
              <w:t>项</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2.开标后资格审查时，投标人未被列入失信被执行人、重大税收违法失信主体、政府采购严重违法失信行为记录名单，相关信用情况通过“信用中国”网站、中国政府采购网等渠道查询。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内蒙古博益招标代理有限公司</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包头市昆都仑区民族西路与富林路交叉路口北300米内蒙古博益招标代理有限公司2楼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沈工</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13039553660</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包头市昆都仑区发展和改革委员会</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昆区党政大楼2号楼4楼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014010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包主任</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0472-2836753</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代理服务费收费标准：参考内工建协【2022】34号文件《内蒙古自治区建设工程招标代理服务收费指导意见》之规定按服务类标准计取采购代理服务费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特别提示：1、最高投标限价: 本项目设有最高投标价：1250000元。投标报价超出招标文件中规定的预算金额或者最高限价 的，按无效标处理。2、由于招标文件中《合同与验收》为固定模板，无法修改。 具体签订合同以采购人提供为准。3、 本项目为电子投标，制作投标文件时请到自治区采购网首页自行学习操作方法(网站上有操作视频)，如遇问题无法解决可直接联系软件公司咨询，技术支持400-0471-010。4、 由于本项目采用电子系统招标，招标文件为系统模板，根据具体项目的情况无法准确描述，部分内容只可填空，不可更改。所以招标文件中有不适用之处，敬请见谅。如有问题，请及时联系采购代理机构。 5、项目为远程开标，供应商需开标时远程解锁、确认。各供应商必须保证电脑可正常登陆、解密及签章，本项目设置解密、签章确认时间为30分钟，如供应商在规定时间内无法解密等，造成废标的，采购人及采购代理机构不承担任何责任。 6、 关于投标文件的说明:供应商成交:后，须于成交结果公告后提供与电子投标文件内容完全一致的纸质响应文件3份(用于备案存档)。纸质投标文件要求由投标文件制作工具直接打印(内容必须完整)、 装订后并加盖单位公章，如与电子版响应文件内容不一致所引起一切法律责任及不良后果，由响应供应商自行承担。纸质投标文件中所有要求盖章、签字的地方都按“招标文件”中“签字，盖意要求”执行，打印注意事项:纸质投标文件要以胶装形式牢固装订。按采购文件中“投标文件格式”的顺序装订成册，牢固装订是指装订好的投标文件不至于在翻阅时散开或用 简单的方式将其中一项取出或将其他文件插入，各种活页装订、打孔式、塑料方便式书脊插入装订的不认为是牢固装订。</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包头市昆都仑区发展和改革委员会</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内蒙古博益招标代理有限公司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查询记录：对列入失信被执行人、重大税收违法失信主体、政府采购严重违法失信行为记录名单、信用报告进行查询；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重大税收违法失信主体、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审查投标人提供2024年度或2023年度经会计师事务所或审计机构出具的财务审计报告或银行出具的近一年内的银行资信证明或声明函，以上形式的证明资料提供任何一种即可。</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审查投标人提供的具有履行合同所必需的专业技术能力的证明材料或承诺书。</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昆都仑区“十五五”规划基本思路及规划纲要编制服务</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合同签订之日起一年</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采购人要求地点</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1、合同签订后，达到付款条件起7日，支付合同总金额的40.00%</w:t>
            </w:r>
          </w:p>
          <w:p>
            <w:pPr>
              <w:pStyle w:val="null5"/>
              <w:jc w:val="left"/>
            </w:pPr>
            <w:r>
              <w:rPr>
                <w:rFonts w:ascii="仿宋_GB2312" w:hAnsi="仿宋_GB2312" w:cs="仿宋_GB2312" w:eastAsia="仿宋_GB2312"/>
              </w:rPr>
              <w:t>2、项目成果报告通过采购人组织的专家验收并取得验收合格结论后，达到付款条件起7日，支付合同总金额的40.00%</w:t>
            </w:r>
          </w:p>
          <w:p>
            <w:pPr>
              <w:pStyle w:val="null5"/>
              <w:jc w:val="left"/>
            </w:pPr>
            <w:r>
              <w:rPr>
                <w:rFonts w:ascii="仿宋_GB2312" w:hAnsi="仿宋_GB2312" w:cs="仿宋_GB2312" w:eastAsia="仿宋_GB2312"/>
              </w:rPr>
              <w:t>3、提交经验收合格的最终成果报告后，达到付款条件起7日，支付合同总金额的20.00%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标的名称：昆都仑区“十五五”规划基本思路及规划纲要编制服务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05" w:after="105"/>
              <w:ind w:firstLine="640"/>
              <w:jc w:val="left"/>
            </w:pPr>
            <w:r>
              <w:rPr>
                <w:rFonts w:ascii="仿宋_GB2312" w:hAnsi="仿宋_GB2312" w:cs="仿宋_GB2312" w:eastAsia="仿宋_GB2312"/>
                <w:sz w:val="24"/>
              </w:rPr>
              <w:t>项目名称：昆都仑区</w:t>
            </w:r>
            <w:r>
              <w:rPr>
                <w:rFonts w:ascii="仿宋_GB2312" w:hAnsi="仿宋_GB2312" w:cs="仿宋_GB2312" w:eastAsia="仿宋_GB2312"/>
                <w:sz w:val="24"/>
              </w:rPr>
              <w:t>“十五五”规划基本思路及规划纲要编制服务</w:t>
            </w:r>
          </w:p>
          <w:p>
            <w:pPr>
              <w:pStyle w:val="null5"/>
              <w:ind w:firstLine="640"/>
              <w:jc w:val="both"/>
            </w:pPr>
            <w:r>
              <w:rPr>
                <w:rFonts w:ascii="仿宋_GB2312" w:hAnsi="仿宋_GB2312" w:cs="仿宋_GB2312" w:eastAsia="仿宋_GB2312"/>
                <w:sz w:val="24"/>
              </w:rPr>
              <w:t>主要功能或目标：按时完成规划基本思路及规划纲要编制服务，通过人大审议。</w:t>
            </w:r>
          </w:p>
          <w:p>
            <w:pPr>
              <w:pStyle w:val="null5"/>
              <w:ind w:firstLine="640"/>
              <w:jc w:val="both"/>
            </w:pPr>
            <w:r>
              <w:rPr>
                <w:rFonts w:ascii="仿宋_GB2312" w:hAnsi="仿宋_GB2312" w:cs="仿宋_GB2312" w:eastAsia="仿宋_GB2312"/>
                <w:sz w:val="24"/>
              </w:rPr>
              <w:t>需要满足的要求：（</w:t>
            </w:r>
            <w:r>
              <w:rPr>
                <w:rFonts w:ascii="仿宋_GB2312" w:hAnsi="仿宋_GB2312" w:cs="仿宋_GB2312" w:eastAsia="仿宋_GB2312"/>
                <w:sz w:val="24"/>
              </w:rPr>
              <w:t>1）总结“十四五”时期经济社会发展的主要成效，分析存在的突出问题；（2）分析“十五五”时期面临的国内外宏观经济形势及其影响；（3）面向基本实现现代化，系统研究提出“十五五”时期经济社会发展的战略定位、主要目标、战略任务、主要举措及保障措施等。</w:t>
            </w:r>
          </w:p>
          <w:p>
            <w:pPr>
              <w:pStyle w:val="null5"/>
              <w:ind w:firstLine="640"/>
              <w:jc w:val="both"/>
            </w:pPr>
            <w:r>
              <w:rPr>
                <w:rFonts w:ascii="仿宋_GB2312" w:hAnsi="仿宋_GB2312" w:cs="仿宋_GB2312" w:eastAsia="仿宋_GB2312"/>
                <w:sz w:val="24"/>
              </w:rPr>
              <w:t>项目要求：</w:t>
            </w:r>
          </w:p>
          <w:p>
            <w:pPr>
              <w:pStyle w:val="null5"/>
              <w:ind w:firstLine="640"/>
              <w:jc w:val="both"/>
            </w:pPr>
            <w:r>
              <w:rPr>
                <w:rFonts w:ascii="仿宋_GB2312" w:hAnsi="仿宋_GB2312" w:cs="仿宋_GB2312" w:eastAsia="仿宋_GB2312"/>
                <w:sz w:val="24"/>
              </w:rPr>
              <w:t>《包头市昆都仑区</w:t>
            </w:r>
            <w:r>
              <w:rPr>
                <w:rFonts w:ascii="仿宋_GB2312" w:hAnsi="仿宋_GB2312" w:cs="仿宋_GB2312" w:eastAsia="仿宋_GB2312"/>
                <w:sz w:val="24"/>
              </w:rPr>
              <w:t>“十五五”国民经济和社会发展规划基本思路》将在一系列专题研究成果的基础上，按照习近平总书记考察内蒙古和包头的重要讲话和指示精神，深入分析包头市高质量发展的基础条件、机遇挑战、短板弱项，研究“十五五”时期包头市昆都仑区的现代产业布局、基础设施、社会事业、生态文明、文化传承、改革开放等领域总体思路，初步形成各领域重大工程和重大项目清单，为</w:t>
            </w:r>
            <w:r>
              <w:rPr>
                <w:rFonts w:ascii="仿宋_GB2312" w:hAnsi="仿宋_GB2312" w:cs="仿宋_GB2312" w:eastAsia="仿宋_GB2312"/>
                <w:sz w:val="24"/>
              </w:rPr>
              <w:t>《包头市昆都仑区国民经济和社会发展第十五个五年规划纲要》</w:t>
            </w:r>
            <w:r>
              <w:rPr>
                <w:rFonts w:ascii="仿宋_GB2312" w:hAnsi="仿宋_GB2312" w:cs="仿宋_GB2312" w:eastAsia="仿宋_GB2312"/>
                <w:sz w:val="24"/>
              </w:rPr>
              <w:t>编制提供研究支撑。</w:t>
            </w:r>
          </w:p>
          <w:p>
            <w:pPr>
              <w:pStyle w:val="null5"/>
              <w:ind w:firstLine="640"/>
              <w:jc w:val="both"/>
            </w:pPr>
            <w:r>
              <w:rPr>
                <w:rFonts w:ascii="仿宋_GB2312" w:hAnsi="仿宋_GB2312" w:cs="仿宋_GB2312" w:eastAsia="仿宋_GB2312"/>
                <w:sz w:val="24"/>
              </w:rPr>
              <w:t>《包头市昆都仑区国民经济和社会发展第十五个五年规划纲要》</w:t>
            </w:r>
            <w:r>
              <w:rPr>
                <w:rFonts w:ascii="仿宋_GB2312" w:hAnsi="仿宋_GB2312" w:cs="仿宋_GB2312" w:eastAsia="仿宋_GB2312"/>
                <w:sz w:val="24"/>
              </w:rPr>
              <w:t>编制将在《包头市昆都仑区</w:t>
            </w:r>
            <w:r>
              <w:rPr>
                <w:rFonts w:ascii="仿宋_GB2312" w:hAnsi="仿宋_GB2312" w:cs="仿宋_GB2312" w:eastAsia="仿宋_GB2312"/>
                <w:sz w:val="24"/>
              </w:rPr>
              <w:t>“十五五”国民经济和社会发展规划基本思路》基础上，全面总结评估包头市昆都仑区国民经济和社会发展第十四个五年规划和2035年远景目标纲要的执行情况，以习近平新时代中国特色社会主义和党的二十大、二十届一中、二中、三中全会精神为指导，立足新发展理念，紧扣高质量发展为主线，统筹经济社会发展和安全目标，结合国家西部大开发、共建“一带一路”国家重大战略，找准包头市昆都仑区战略定位，明确包头市昆都仑区“十五五”期间经济社会发展的基本思路和发展原则，制定战略目标、战略任务，谋划重点支撑工程、重大平台、重大项目，提出规划实施的保障措施。</w:t>
            </w:r>
          </w:p>
          <w:p>
            <w:pPr>
              <w:pStyle w:val="null5"/>
              <w:ind w:firstLine="640"/>
              <w:jc w:val="both"/>
            </w:pPr>
            <w:r>
              <w:rPr>
                <w:rFonts w:ascii="仿宋_GB2312" w:hAnsi="仿宋_GB2312" w:cs="仿宋_GB2312" w:eastAsia="仿宋_GB2312"/>
                <w:sz w:val="24"/>
              </w:rPr>
              <w:t>项目周期：合同签订后一年内完成。</w:t>
            </w:r>
          </w:p>
          <w:p>
            <w:pPr>
              <w:pStyle w:val="null5"/>
              <w:ind w:firstLine="640"/>
              <w:jc w:val="both"/>
            </w:pPr>
            <w:r>
              <w:rPr>
                <w:rFonts w:ascii="仿宋_GB2312" w:hAnsi="仿宋_GB2312" w:cs="仿宋_GB2312" w:eastAsia="仿宋_GB2312"/>
                <w:sz w:val="24"/>
              </w:rPr>
              <w:t>项目成果文件：成果为《包头市昆都仑区“十五五”国民经济和社会发展规划基本思路》和</w:t>
            </w:r>
            <w:r>
              <w:rPr>
                <w:rFonts w:ascii="仿宋_GB2312" w:hAnsi="仿宋_GB2312" w:cs="仿宋_GB2312" w:eastAsia="仿宋_GB2312"/>
                <w:sz w:val="24"/>
              </w:rPr>
              <w:t>《包头市昆都仑区国民经济和社会发展第十五个五年规划纲要》</w:t>
            </w:r>
            <w:r>
              <w:rPr>
                <w:rFonts w:ascii="仿宋_GB2312" w:hAnsi="仿宋_GB2312" w:cs="仿宋_GB2312" w:eastAsia="仿宋_GB2312"/>
                <w:sz w:val="24"/>
              </w:rPr>
              <w:t>核心摘要。</w:t>
            </w:r>
          </w:p>
          <w:p>
            <w:pPr>
              <w:pStyle w:val="null5"/>
              <w:ind w:firstLine="640"/>
              <w:jc w:val="both"/>
            </w:pPr>
            <w:r>
              <w:rPr>
                <w:rFonts w:ascii="仿宋_GB2312" w:hAnsi="仿宋_GB2312" w:cs="仿宋_GB2312" w:eastAsia="仿宋_GB2312"/>
                <w:sz w:val="24"/>
              </w:rPr>
              <w:t>服务要求：</w:t>
            </w:r>
          </w:p>
          <w:p>
            <w:pPr>
              <w:pStyle w:val="null5"/>
              <w:ind w:firstLine="640"/>
              <w:jc w:val="both"/>
            </w:pPr>
            <w:r>
              <w:rPr>
                <w:rFonts w:ascii="仿宋_GB2312" w:hAnsi="仿宋_GB2312" w:cs="仿宋_GB2312" w:eastAsia="仿宋_GB2312"/>
                <w:sz w:val="24"/>
              </w:rPr>
              <w:t>（</w:t>
            </w:r>
            <w:r>
              <w:rPr>
                <w:rFonts w:ascii="仿宋_GB2312" w:hAnsi="仿宋_GB2312" w:cs="仿宋_GB2312" w:eastAsia="仿宋_GB2312"/>
                <w:sz w:val="24"/>
              </w:rPr>
              <w:t>1）供应商针对本项目配备人员不少于4人；</w:t>
            </w:r>
          </w:p>
          <w:p>
            <w:pPr>
              <w:pStyle w:val="null5"/>
              <w:ind w:firstLine="640"/>
              <w:jc w:val="both"/>
            </w:pPr>
            <w:r>
              <w:rPr>
                <w:rFonts w:ascii="仿宋_GB2312" w:hAnsi="仿宋_GB2312" w:cs="仿宋_GB2312" w:eastAsia="仿宋_GB2312"/>
                <w:sz w:val="24"/>
              </w:rPr>
              <w:t>（</w:t>
            </w:r>
            <w:r>
              <w:rPr>
                <w:rFonts w:ascii="仿宋_GB2312" w:hAnsi="仿宋_GB2312" w:cs="仿宋_GB2312" w:eastAsia="仿宋_GB2312"/>
                <w:sz w:val="24"/>
              </w:rPr>
              <w:t>2）供应商应安排专人每月向甲方汇报工作进展，保证项目按时推进；</w:t>
            </w:r>
          </w:p>
          <w:p>
            <w:pPr>
              <w:pStyle w:val="null5"/>
              <w:ind w:firstLine="640"/>
              <w:jc w:val="both"/>
            </w:pPr>
            <w:r>
              <w:rPr>
                <w:rFonts w:ascii="仿宋_GB2312" w:hAnsi="仿宋_GB2312" w:cs="仿宋_GB2312" w:eastAsia="仿宋_GB2312"/>
                <w:sz w:val="24"/>
              </w:rPr>
              <w:t>（</w:t>
            </w:r>
            <w:r>
              <w:rPr>
                <w:rFonts w:ascii="仿宋_GB2312" w:hAnsi="仿宋_GB2312" w:cs="仿宋_GB2312" w:eastAsia="仿宋_GB2312"/>
                <w:sz w:val="24"/>
              </w:rPr>
              <w:t>3）供应商需在项目实施过程中加强对项目质量控制管理，接受委托单位的全程质量控制；</w:t>
            </w:r>
          </w:p>
          <w:p>
            <w:pPr>
              <w:pStyle w:val="null5"/>
              <w:ind w:firstLine="640"/>
              <w:jc w:val="both"/>
            </w:pPr>
            <w:r>
              <w:rPr>
                <w:rFonts w:ascii="仿宋_GB2312" w:hAnsi="仿宋_GB2312" w:cs="仿宋_GB2312" w:eastAsia="仿宋_GB2312"/>
                <w:sz w:val="24"/>
              </w:rPr>
              <w:t>服务地点：采购人要求地点</w:t>
            </w:r>
          </w:p>
          <w:p>
            <w:pPr>
              <w:pStyle w:val="null5"/>
              <w:ind w:firstLine="640"/>
              <w:jc w:val="both"/>
            </w:pPr>
            <w:r>
              <w:rPr>
                <w:rFonts w:ascii="仿宋_GB2312" w:hAnsi="仿宋_GB2312" w:cs="仿宋_GB2312" w:eastAsia="仿宋_GB2312"/>
                <w:sz w:val="24"/>
              </w:rPr>
              <w:t>验收要求：满足国家、自治区、包头市部署，达到昆区区委、区政府要求。</w:t>
            </w:r>
          </w:p>
          <w:p>
            <w:pPr>
              <w:pStyle w:val="null5"/>
              <w:ind w:firstLine="640"/>
              <w:jc w:val="both"/>
            </w:pPr>
            <w:r>
              <w:rPr>
                <w:rFonts w:ascii="仿宋_GB2312" w:hAnsi="仿宋_GB2312" w:cs="仿宋_GB2312" w:eastAsia="仿宋_GB2312"/>
                <w:sz w:val="24"/>
              </w:rPr>
              <w:t>其他要求：</w:t>
            </w:r>
          </w:p>
          <w:p>
            <w:pPr>
              <w:pStyle w:val="null5"/>
              <w:ind w:firstLine="640"/>
              <w:jc w:val="both"/>
            </w:pPr>
            <w:r>
              <w:rPr>
                <w:rFonts w:ascii="仿宋_GB2312" w:hAnsi="仿宋_GB2312" w:cs="仿宋_GB2312" w:eastAsia="仿宋_GB2312"/>
                <w:sz w:val="24"/>
              </w:rPr>
              <w:t>成果提交：文本原件各</w:t>
            </w:r>
            <w:r>
              <w:rPr>
                <w:rFonts w:ascii="仿宋_GB2312" w:hAnsi="仿宋_GB2312" w:cs="仿宋_GB2312" w:eastAsia="仿宋_GB2312"/>
                <w:sz w:val="24"/>
              </w:rPr>
              <w:t>5份，电子版各1份</w:t>
            </w:r>
          </w:p>
          <w:p>
            <w:pPr>
              <w:pStyle w:val="null5"/>
              <w:ind w:firstLine="640"/>
              <w:jc w:val="both"/>
            </w:pPr>
            <w:r>
              <w:rPr>
                <w:rFonts w:ascii="仿宋_GB2312" w:hAnsi="仿宋_GB2312" w:cs="仿宋_GB2312" w:eastAsia="仿宋_GB2312"/>
                <w:sz w:val="24"/>
              </w:rPr>
              <w:t>成果归属：所有成果所有权归采购人所有。</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5"/>
              <w:jc w:val="left"/>
            </w:pPr>
            <w:r>
              <w:rPr>
                <w:rFonts w:ascii="仿宋_GB2312" w:hAnsi="仿宋_GB2312" w:cs="仿宋_GB2312" w:eastAsia="仿宋_GB2312"/>
              </w:rPr>
              <w:t>开标一览表 分项报价表 目录 封面</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技术部分70.00分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报价得分10.00分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项目理解</w:t>
            </w:r>
          </w:p>
        </w:tc>
        <w:tc>
          <w:tcPr>
            <w:tcW w:type="dxa" w:w="3115"/>
          </w:tcPr>
          <w:p>
            <w:pPr>
              <w:pStyle w:val="null5"/>
              <w:jc w:val="left"/>
            </w:pPr>
            <w:r>
              <w:rPr>
                <w:rFonts w:ascii="仿宋_GB2312" w:hAnsi="仿宋_GB2312" w:cs="仿宋_GB2312" w:eastAsia="仿宋_GB2312"/>
              </w:rPr>
              <w:t>对“十五五”规划前期研究及规划编制背景、整体思路及服务需求理解程度进行打分。 （ 1）方案内容详实、清晰合理、可操作性强、优于采购需求的得11-15分；（2）方案内 容较详实、基本清晰合理、可操作性较强、满足采购需求的得6-10分；（3）方案内容 不全、可操作性低、通过后期优化可以满足采购需求的得1-5分；（4）没有内容或不满 足招标文件需求的不得分。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规划编制方案</w:t>
            </w:r>
          </w:p>
        </w:tc>
        <w:tc>
          <w:tcPr>
            <w:tcW w:type="dxa" w:w="3115"/>
          </w:tcPr>
          <w:p>
            <w:pPr>
              <w:pStyle w:val="null5"/>
              <w:jc w:val="left"/>
            </w:pPr>
            <w:r>
              <w:rPr>
                <w:rFonts w:ascii="仿宋_GB2312" w:hAnsi="仿宋_GB2312" w:cs="仿宋_GB2312" w:eastAsia="仿宋_GB2312"/>
              </w:rPr>
              <w:t>根据供应商编制的规划方案、成果等方面进行打分。 （1）规划方案、成果全面合理、 内容详实、可实施性强，优于采购需求得11-15分；（2）规划方案、成果较全面、内容 基本详实、可实施性较强，满足采购需求得6-10分；（3）规划方案、成果不全面、内 容不完善、可实施性弱，通过后期优化可以满足采购需求的得1-5分；（4）没有内容或 不满足招标文件需求的不得分。</w:t>
            </w:r>
          </w:p>
        </w:tc>
        <w:tc>
          <w:tcPr>
            <w:tcW w:type="dxa" w:w="1038"/>
          </w:tcPr>
          <w:p>
            <w:pPr>
              <w:pStyle w:val="null5"/>
              <w:jc w:val="right"/>
            </w:pPr>
            <w:r>
              <w:rPr>
                <w:rFonts w:ascii="仿宋_GB2312" w:hAnsi="仿宋_GB2312" w:cs="仿宋_GB2312" w:eastAsia="仿宋_GB2312"/>
              </w:rPr>
              <w:t>15.00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重难点分析</w:t>
            </w:r>
          </w:p>
        </w:tc>
        <w:tc>
          <w:tcPr>
            <w:tcW w:type="dxa" w:w="3115"/>
          </w:tcPr>
          <w:p>
            <w:pPr>
              <w:pStyle w:val="null5"/>
              <w:jc w:val="left"/>
            </w:pPr>
            <w:r>
              <w:rPr>
                <w:rFonts w:ascii="仿宋_GB2312" w:hAnsi="仿宋_GB2312" w:cs="仿宋_GB2312" w:eastAsia="仿宋_GB2312"/>
              </w:rPr>
              <w:t>根据供应商对本项目的重难点分析准确，对重点及难点问题提出的解决思路合理（1） 内容详细、完善、合理，完全满足采购需求，得8-10分；（2）内容基本完善、基本合 理，基本满足采购需求，得4-7分；（3）内容不完善、思路不合理，不能满足采购需求 ，得1-3分；（4）不提供不得分。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质量保障</w:t>
            </w:r>
          </w:p>
        </w:tc>
        <w:tc>
          <w:tcPr>
            <w:tcW w:type="dxa" w:w="3115"/>
          </w:tcPr>
          <w:p>
            <w:pPr>
              <w:pStyle w:val="null5"/>
              <w:jc w:val="left"/>
            </w:pPr>
            <w:r>
              <w:rPr>
                <w:rFonts w:ascii="仿宋_GB2312" w:hAnsi="仿宋_GB2312" w:cs="仿宋_GB2312" w:eastAsia="仿宋_GB2312"/>
              </w:rPr>
              <w:t>供应商针对本项目制定了完善的成果质量保障方案，（1）科学合理可行，得8-10分； （2）提供了简单、通用的保障方案，得4-7分；（3）方案内容有欠缺，不能完全满足 项目要求，得1-3分；（4）不提供不得分。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实施进度保障</w:t>
            </w:r>
          </w:p>
        </w:tc>
        <w:tc>
          <w:tcPr>
            <w:tcW w:type="dxa" w:w="3115"/>
          </w:tcPr>
          <w:p>
            <w:pPr>
              <w:pStyle w:val="null5"/>
              <w:jc w:val="left"/>
            </w:pPr>
            <w:r>
              <w:rPr>
                <w:rFonts w:ascii="仿宋_GB2312" w:hAnsi="仿宋_GB2312" w:cs="仿宋_GB2312" w:eastAsia="仿宋_GB2312"/>
              </w:rPr>
              <w:t>供应商按照采购人的要求，提供详实的进度计划。根据进度阶段的划分以及工作量及工 期安排的合理性综合评分。（1）提供了内容完整、详实可行的进度计划，有很强的针 对性，得6-8分；（2）提供了常规、通用的进度计划，基本符合采购需求，得4-5分； （3）提供的进度计划欠佳，不能满足采购需求，得1-3分；（4）不提供不得分。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服务承诺</w:t>
            </w:r>
          </w:p>
        </w:tc>
        <w:tc>
          <w:tcPr>
            <w:tcW w:type="dxa" w:w="3115"/>
          </w:tcPr>
          <w:p>
            <w:pPr>
              <w:pStyle w:val="null5"/>
              <w:jc w:val="left"/>
            </w:pPr>
            <w:r>
              <w:rPr>
                <w:rFonts w:ascii="仿宋_GB2312" w:hAnsi="仿宋_GB2312" w:cs="仿宋_GB2312" w:eastAsia="仿宋_GB2312"/>
              </w:rPr>
              <w:t>供应商向采购人提供的服务时间、人员到位情况、后期服务响应时间及配合程度、质量 保证承诺等方面进行评审。（1）内容详细、完善、合理，完全满足采购需求，得4分 ；（2）内容比较完善、比较合理，较满足采购需求，得2分；（3）内容基本完善、基 本合理，基本满足采购需求，得1分；（4）未提供相关内容不得分。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工作安排</w:t>
            </w:r>
          </w:p>
        </w:tc>
        <w:tc>
          <w:tcPr>
            <w:tcW w:type="dxa" w:w="3115"/>
          </w:tcPr>
          <w:p>
            <w:pPr>
              <w:pStyle w:val="null5"/>
              <w:jc w:val="left"/>
            </w:pPr>
            <w:r>
              <w:rPr>
                <w:rFonts w:ascii="仿宋_GB2312" w:hAnsi="仿宋_GB2312" w:cs="仿宋_GB2312" w:eastAsia="仿宋_GB2312"/>
              </w:rPr>
              <w:t>供应商提供的针对本项目的工作安排的合理性、明确性、针对性等进行评审：（1）内 容详细、完善、合理，完全满足采购需求，得4分；（2）内容比较完善、比较合理，较 满足采购需求，得2分；（3）内容基本完善、基本合理，基本满足采购需求，得1分； （4）未提供相关内容不得分。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保密措施</w:t>
            </w:r>
          </w:p>
        </w:tc>
        <w:tc>
          <w:tcPr>
            <w:tcW w:type="dxa" w:w="3115"/>
          </w:tcPr>
          <w:p>
            <w:pPr>
              <w:pStyle w:val="null5"/>
              <w:jc w:val="left"/>
            </w:pPr>
            <w:r>
              <w:rPr>
                <w:rFonts w:ascii="仿宋_GB2312" w:hAnsi="仿宋_GB2312" w:cs="仿宋_GB2312" w:eastAsia="仿宋_GB2312"/>
              </w:rPr>
              <w:t>根据本项目涉及相关文件的保密，措施承诺、保障有效,合理可行等进行评审，（1）内 容详细、完善、合理，完全满足采购需求，得4分；（2）内容比较完善、比较合理，较 满足采购需求，得2分；（3）内容基本完善、基本合理，基本满足采购需求，得1分； （4）未提供相关内容不得分。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类似项目业绩</w:t>
            </w:r>
          </w:p>
        </w:tc>
        <w:tc>
          <w:tcPr>
            <w:tcW w:type="dxa" w:w="3115"/>
          </w:tcPr>
          <w:p>
            <w:pPr>
              <w:pStyle w:val="null5"/>
              <w:jc w:val="left"/>
            </w:pPr>
            <w:r>
              <w:rPr>
                <w:rFonts w:ascii="仿宋_GB2312" w:hAnsi="仿宋_GB2312" w:cs="仿宋_GB2312" w:eastAsia="仿宋_GB2312"/>
              </w:rPr>
              <w:t>供应商自2022年1月1日至今(以合同签订时间为准)承担过的类似业绩，每有一项得2.5分，最高得10分。注：类似业绩指规划编制项目，投标文件须附合同或中标通知书复印件，至少含项目名称、项目主要内容、签字盖章页。</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拟配备项目团队</w:t>
            </w:r>
          </w:p>
        </w:tc>
        <w:tc>
          <w:tcPr>
            <w:tcW w:type="dxa" w:w="3115"/>
          </w:tcPr>
          <w:p>
            <w:pPr>
              <w:pStyle w:val="null5"/>
              <w:jc w:val="left"/>
            </w:pPr>
            <w:r>
              <w:rPr>
                <w:rFonts w:ascii="仿宋_GB2312" w:hAnsi="仿宋_GB2312" w:cs="仿宋_GB2312" w:eastAsia="仿宋_GB2312"/>
              </w:rPr>
              <w:t>1.项目负责人为具有高级职称且具有咨询工程（投资）资格证书的得4分，否则不得分(投标文件中附证书复印件)。2.除项目负责人外每增加一名高级职称且具有咨询工程（投资）资格证书的人员加2分，最高得6分。注：在投标文件中需提供人员职称证证明材料。</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2492"/>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20.00%</w:t>
            </w:r>
          </w:p>
        </w:tc>
        <w:tc>
          <w:tcPr>
            <w:tcW w:type="dxa" w:w="2492"/>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详见附件：分项报价表</w:t>
      </w:r>
    </w:p>
    <w:p>
      <w:pPr>
        <w:pStyle w:val="null5"/>
        <w:ind w:firstLine="1440"/>
        <w:jc w:val="left"/>
      </w:pPr>
      <w:r>
        <w:rPr>
          <w:rFonts w:ascii="仿宋_GB2312" w:hAnsi="仿宋_GB2312" w:cs="仿宋_GB2312" w:eastAsia="仿宋_GB2312"/>
        </w:rPr>
        <w:t>详见附件：开标一览表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