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A4E090">
      <w:pPr>
        <w:numPr>
          <w:ilvl w:val="0"/>
          <w:numId w:val="0"/>
        </w:numPr>
        <w:ind w:leftChars="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一、技术规范书</w:t>
      </w:r>
    </w:p>
    <w:p w14:paraId="2E6C3C76">
      <w:pPr>
        <w:numPr>
          <w:ilvl w:val="0"/>
          <w:numId w:val="0"/>
        </w:numPr>
        <w:ind w:leftChars="0"/>
        <w:rPr>
          <w:rFonts w:hint="eastAsia" w:ascii="仿宋" w:hAnsi="仿宋" w:eastAsia="仿宋" w:cs="仿宋"/>
          <w:sz w:val="24"/>
          <w:szCs w:val="24"/>
        </w:rPr>
      </w:pPr>
      <w:r>
        <w:rPr>
          <w:rFonts w:hint="eastAsia" w:ascii="仿宋" w:hAnsi="仿宋" w:eastAsia="仿宋" w:cs="仿宋"/>
          <w:sz w:val="24"/>
          <w:szCs w:val="24"/>
        </w:rPr>
        <w:t>1总体技术要求</w:t>
      </w:r>
    </w:p>
    <w:p w14:paraId="37A1CA6B">
      <w:p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1.1标准和规范</w:t>
      </w:r>
    </w:p>
    <w:p w14:paraId="563E4175">
      <w:pPr>
        <w:ind w:firstLine="480"/>
        <w:rPr>
          <w:rFonts w:hint="eastAsia" w:ascii="仿宋" w:hAnsi="仿宋" w:eastAsia="仿宋" w:cs="仿宋"/>
          <w:sz w:val="24"/>
          <w:szCs w:val="24"/>
        </w:rPr>
      </w:pPr>
      <w:r>
        <w:rPr>
          <w:rFonts w:hint="eastAsia" w:ascii="仿宋" w:hAnsi="仿宋" w:eastAsia="仿宋" w:cs="仿宋"/>
          <w:sz w:val="24"/>
          <w:szCs w:val="24"/>
        </w:rPr>
        <w:t>本技术条件指定产品应遵循的规范、标准法规主要包括但不仅限于下表所列范围。凡经修订的标准，其最新版本适用于本规范。其它未列出的与本产品有关的规范和标准，供货商有义务主动向业主和设计提供。所有规范和标准均应为项目采购期时最新的有效版本。</w:t>
      </w:r>
    </w:p>
    <w:p w14:paraId="053F8B3A">
      <w:pPr>
        <w:ind w:firstLine="480"/>
        <w:rPr>
          <w:rFonts w:hint="eastAsia" w:ascii="仿宋" w:hAnsi="仿宋" w:eastAsia="仿宋" w:cs="仿宋"/>
          <w:sz w:val="24"/>
          <w:szCs w:val="24"/>
        </w:rPr>
      </w:pPr>
      <w:r>
        <w:rPr>
          <w:rFonts w:hint="eastAsia" w:ascii="仿宋" w:hAnsi="仿宋" w:eastAsia="仿宋" w:cs="仿宋"/>
          <w:sz w:val="24"/>
          <w:szCs w:val="24"/>
        </w:rPr>
        <w:t>投标方提供的设备和附件需要满足的主要标准</w:t>
      </w:r>
    </w:p>
    <w:tbl>
      <w:tblPr>
        <w:tblStyle w:val="6"/>
        <w:tblW w:w="89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2"/>
        <w:gridCol w:w="6521"/>
      </w:tblGrid>
      <w:tr w14:paraId="6D723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402" w:type="dxa"/>
            <w:tcBorders>
              <w:top w:val="single" w:color="auto" w:sz="4" w:space="0"/>
              <w:left w:val="single" w:color="auto" w:sz="4" w:space="0"/>
              <w:bottom w:val="single" w:color="auto" w:sz="4" w:space="0"/>
              <w:right w:val="single" w:color="auto" w:sz="4" w:space="0"/>
            </w:tcBorders>
            <w:vAlign w:val="center"/>
          </w:tcPr>
          <w:p w14:paraId="01265BCB">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标准号</w:t>
            </w:r>
          </w:p>
        </w:tc>
        <w:tc>
          <w:tcPr>
            <w:tcW w:w="6521" w:type="dxa"/>
            <w:tcBorders>
              <w:top w:val="single" w:color="auto" w:sz="4" w:space="0"/>
              <w:left w:val="single" w:color="auto" w:sz="4" w:space="0"/>
              <w:bottom w:val="single" w:color="auto" w:sz="4" w:space="0"/>
              <w:right w:val="single" w:color="auto" w:sz="4" w:space="0"/>
            </w:tcBorders>
            <w:vAlign w:val="center"/>
          </w:tcPr>
          <w:p w14:paraId="50F76DFA">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标准名称</w:t>
            </w:r>
          </w:p>
        </w:tc>
      </w:tr>
      <w:tr w14:paraId="6C13F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441719EA">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GB/T2421.1-2008</w:t>
            </w:r>
          </w:p>
        </w:tc>
        <w:tc>
          <w:tcPr>
            <w:tcW w:w="6521" w:type="dxa"/>
            <w:tcBorders>
              <w:top w:val="single" w:color="auto" w:sz="4" w:space="0"/>
              <w:left w:val="single" w:color="auto" w:sz="4" w:space="0"/>
              <w:bottom w:val="single" w:color="auto" w:sz="4" w:space="0"/>
              <w:right w:val="single" w:color="auto" w:sz="4" w:space="0"/>
            </w:tcBorders>
            <w:vAlign w:val="center"/>
          </w:tcPr>
          <w:p w14:paraId="20DC1554">
            <w:pPr>
              <w:ind w:firstLine="0" w:firstLineChars="0"/>
              <w:rPr>
                <w:rFonts w:hint="eastAsia" w:ascii="仿宋" w:hAnsi="仿宋" w:eastAsia="仿宋" w:cs="仿宋"/>
                <w:sz w:val="21"/>
                <w:szCs w:val="21"/>
              </w:rPr>
            </w:pPr>
            <w:r>
              <w:rPr>
                <w:rFonts w:hint="eastAsia" w:ascii="仿宋" w:hAnsi="仿宋" w:eastAsia="仿宋" w:cs="仿宋"/>
                <w:sz w:val="21"/>
                <w:szCs w:val="21"/>
              </w:rPr>
              <w:t>电工电子产品环境试验概述和指南</w:t>
            </w:r>
          </w:p>
        </w:tc>
      </w:tr>
      <w:tr w14:paraId="71386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2DF103B6">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GB/T2423.1-2008</w:t>
            </w:r>
          </w:p>
        </w:tc>
        <w:tc>
          <w:tcPr>
            <w:tcW w:w="6521" w:type="dxa"/>
            <w:tcBorders>
              <w:top w:val="single" w:color="auto" w:sz="4" w:space="0"/>
              <w:left w:val="single" w:color="auto" w:sz="4" w:space="0"/>
              <w:bottom w:val="single" w:color="auto" w:sz="4" w:space="0"/>
              <w:right w:val="single" w:color="auto" w:sz="4" w:space="0"/>
            </w:tcBorders>
            <w:vAlign w:val="center"/>
          </w:tcPr>
          <w:p w14:paraId="48E3E5C6">
            <w:pPr>
              <w:ind w:firstLine="0" w:firstLineChars="0"/>
              <w:rPr>
                <w:rFonts w:hint="eastAsia" w:ascii="仿宋" w:hAnsi="仿宋" w:eastAsia="仿宋" w:cs="仿宋"/>
                <w:sz w:val="21"/>
                <w:szCs w:val="21"/>
              </w:rPr>
            </w:pPr>
            <w:r>
              <w:rPr>
                <w:rFonts w:hint="eastAsia" w:ascii="仿宋" w:hAnsi="仿宋" w:eastAsia="仿宋" w:cs="仿宋"/>
                <w:sz w:val="21"/>
                <w:szCs w:val="21"/>
              </w:rPr>
              <w:t>电工电子产品环境试验　第2部分：试验方法　试验A：低温</w:t>
            </w:r>
          </w:p>
        </w:tc>
      </w:tr>
      <w:tr w14:paraId="7B167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5AE175A9">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GB/T2423.2-2008</w:t>
            </w:r>
          </w:p>
        </w:tc>
        <w:tc>
          <w:tcPr>
            <w:tcW w:w="6521" w:type="dxa"/>
            <w:tcBorders>
              <w:top w:val="single" w:color="auto" w:sz="4" w:space="0"/>
              <w:left w:val="single" w:color="auto" w:sz="4" w:space="0"/>
              <w:bottom w:val="single" w:color="auto" w:sz="4" w:space="0"/>
              <w:right w:val="single" w:color="auto" w:sz="4" w:space="0"/>
            </w:tcBorders>
            <w:vAlign w:val="center"/>
          </w:tcPr>
          <w:p w14:paraId="077C38B0">
            <w:pPr>
              <w:ind w:firstLine="0" w:firstLineChars="0"/>
              <w:rPr>
                <w:rFonts w:hint="eastAsia" w:ascii="仿宋" w:hAnsi="仿宋" w:eastAsia="仿宋" w:cs="仿宋"/>
                <w:sz w:val="21"/>
                <w:szCs w:val="21"/>
              </w:rPr>
            </w:pPr>
            <w:r>
              <w:rPr>
                <w:rFonts w:hint="eastAsia" w:ascii="仿宋" w:hAnsi="仿宋" w:eastAsia="仿宋" w:cs="仿宋"/>
                <w:sz w:val="21"/>
                <w:szCs w:val="21"/>
              </w:rPr>
              <w:t>电工电子产品环境试验　第2部分：试验方法　试验B：高温</w:t>
            </w:r>
          </w:p>
        </w:tc>
      </w:tr>
      <w:tr w14:paraId="286F8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2CCD8BE7">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GB/T2423.3-2006</w:t>
            </w:r>
          </w:p>
        </w:tc>
        <w:tc>
          <w:tcPr>
            <w:tcW w:w="6521" w:type="dxa"/>
            <w:tcBorders>
              <w:top w:val="single" w:color="auto" w:sz="4" w:space="0"/>
              <w:left w:val="single" w:color="auto" w:sz="4" w:space="0"/>
              <w:bottom w:val="single" w:color="auto" w:sz="4" w:space="0"/>
              <w:right w:val="single" w:color="auto" w:sz="4" w:space="0"/>
            </w:tcBorders>
          </w:tcPr>
          <w:p w14:paraId="2AEA2D17">
            <w:pPr>
              <w:ind w:firstLine="0" w:firstLineChars="0"/>
              <w:rPr>
                <w:rFonts w:hint="eastAsia" w:ascii="仿宋" w:hAnsi="仿宋" w:eastAsia="仿宋" w:cs="仿宋"/>
                <w:sz w:val="21"/>
                <w:szCs w:val="21"/>
              </w:rPr>
            </w:pPr>
            <w:r>
              <w:rPr>
                <w:rFonts w:hint="eastAsia" w:ascii="仿宋" w:hAnsi="仿宋" w:eastAsia="仿宋" w:cs="仿宋"/>
                <w:sz w:val="21"/>
                <w:szCs w:val="21"/>
              </w:rPr>
              <w:t>电工电子产品环境试验第2部分：试验方法试验Cab：恒定湿热试验</w:t>
            </w:r>
          </w:p>
        </w:tc>
      </w:tr>
      <w:tr w14:paraId="03C06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1F17D1A1">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GB/T2423.4-2008</w:t>
            </w:r>
          </w:p>
        </w:tc>
        <w:tc>
          <w:tcPr>
            <w:tcW w:w="6521" w:type="dxa"/>
            <w:tcBorders>
              <w:top w:val="single" w:color="auto" w:sz="4" w:space="0"/>
              <w:left w:val="single" w:color="auto" w:sz="4" w:space="0"/>
              <w:bottom w:val="single" w:color="auto" w:sz="4" w:space="0"/>
              <w:right w:val="single" w:color="auto" w:sz="4" w:space="0"/>
            </w:tcBorders>
            <w:vAlign w:val="center"/>
          </w:tcPr>
          <w:p w14:paraId="4419F7ED">
            <w:pPr>
              <w:ind w:firstLine="0" w:firstLineChars="0"/>
              <w:rPr>
                <w:rFonts w:hint="eastAsia" w:ascii="仿宋" w:hAnsi="仿宋" w:eastAsia="仿宋" w:cs="仿宋"/>
                <w:sz w:val="21"/>
                <w:szCs w:val="21"/>
              </w:rPr>
            </w:pPr>
            <w:r>
              <w:rPr>
                <w:rFonts w:hint="eastAsia" w:ascii="仿宋" w:hAnsi="仿宋" w:eastAsia="仿宋" w:cs="仿宋"/>
                <w:sz w:val="21"/>
                <w:szCs w:val="21"/>
              </w:rPr>
              <w:t>电工电子产品环境试验　第2部分：试验方法　试验Db：交变湿热（12h+12h循环）</w:t>
            </w:r>
          </w:p>
        </w:tc>
      </w:tr>
      <w:tr w14:paraId="1D1A7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2E3B4BC9">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GB/T2423.17-2008</w:t>
            </w:r>
          </w:p>
        </w:tc>
        <w:tc>
          <w:tcPr>
            <w:tcW w:w="6521" w:type="dxa"/>
            <w:tcBorders>
              <w:top w:val="single" w:color="auto" w:sz="4" w:space="0"/>
              <w:left w:val="single" w:color="auto" w:sz="4" w:space="0"/>
              <w:bottom w:val="single" w:color="auto" w:sz="4" w:space="0"/>
              <w:right w:val="single" w:color="auto" w:sz="4" w:space="0"/>
            </w:tcBorders>
            <w:vAlign w:val="center"/>
          </w:tcPr>
          <w:p w14:paraId="45E4221B">
            <w:pPr>
              <w:ind w:firstLine="0" w:firstLineChars="0"/>
              <w:rPr>
                <w:rFonts w:hint="eastAsia" w:ascii="仿宋" w:hAnsi="仿宋" w:eastAsia="仿宋" w:cs="仿宋"/>
                <w:sz w:val="21"/>
                <w:szCs w:val="21"/>
              </w:rPr>
            </w:pPr>
            <w:r>
              <w:rPr>
                <w:rFonts w:hint="eastAsia" w:ascii="仿宋" w:hAnsi="仿宋" w:eastAsia="仿宋" w:cs="仿宋"/>
                <w:sz w:val="21"/>
                <w:szCs w:val="21"/>
              </w:rPr>
              <w:t>电工电子产品环境试验第2部分：试验方法试验Ka：盐雾</w:t>
            </w:r>
          </w:p>
        </w:tc>
      </w:tr>
      <w:tr w14:paraId="59033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1CAD5FE0">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GB/T2423.55-2006</w:t>
            </w:r>
          </w:p>
        </w:tc>
        <w:tc>
          <w:tcPr>
            <w:tcW w:w="6521" w:type="dxa"/>
            <w:tcBorders>
              <w:top w:val="single" w:color="auto" w:sz="4" w:space="0"/>
              <w:left w:val="single" w:color="auto" w:sz="4" w:space="0"/>
              <w:bottom w:val="single" w:color="auto" w:sz="4" w:space="0"/>
              <w:right w:val="single" w:color="auto" w:sz="4" w:space="0"/>
            </w:tcBorders>
            <w:vAlign w:val="center"/>
          </w:tcPr>
          <w:p w14:paraId="3D8C910A">
            <w:pPr>
              <w:ind w:firstLine="0" w:firstLineChars="0"/>
              <w:rPr>
                <w:rFonts w:hint="eastAsia" w:ascii="仿宋" w:hAnsi="仿宋" w:eastAsia="仿宋" w:cs="仿宋"/>
                <w:sz w:val="21"/>
                <w:szCs w:val="21"/>
              </w:rPr>
            </w:pPr>
            <w:r>
              <w:rPr>
                <w:rFonts w:hint="eastAsia" w:ascii="仿宋" w:hAnsi="仿宋" w:eastAsia="仿宋" w:cs="仿宋"/>
                <w:sz w:val="21"/>
                <w:szCs w:val="21"/>
              </w:rPr>
              <w:t>电工电子产品环境试验　第2部分：环境测试实验Eh：锤击试验</w:t>
            </w:r>
          </w:p>
        </w:tc>
      </w:tr>
      <w:tr w14:paraId="023DC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3EB95C27">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GB/T4208-2017</w:t>
            </w:r>
          </w:p>
        </w:tc>
        <w:tc>
          <w:tcPr>
            <w:tcW w:w="6521" w:type="dxa"/>
            <w:tcBorders>
              <w:top w:val="single" w:color="auto" w:sz="4" w:space="0"/>
              <w:left w:val="single" w:color="auto" w:sz="4" w:space="0"/>
              <w:bottom w:val="single" w:color="auto" w:sz="4" w:space="0"/>
              <w:right w:val="single" w:color="auto" w:sz="4" w:space="0"/>
            </w:tcBorders>
            <w:vAlign w:val="center"/>
          </w:tcPr>
          <w:p w14:paraId="0A795FF0">
            <w:pPr>
              <w:ind w:firstLine="0" w:firstLineChars="0"/>
              <w:rPr>
                <w:rFonts w:hint="eastAsia" w:ascii="仿宋" w:hAnsi="仿宋" w:eastAsia="仿宋" w:cs="仿宋"/>
                <w:sz w:val="21"/>
                <w:szCs w:val="21"/>
              </w:rPr>
            </w:pPr>
            <w:r>
              <w:rPr>
                <w:rFonts w:hint="eastAsia" w:ascii="仿宋" w:hAnsi="仿宋" w:eastAsia="仿宋" w:cs="仿宋"/>
                <w:sz w:val="21"/>
                <w:szCs w:val="21"/>
              </w:rPr>
              <w:t>外壳防护等级（IP代码）</w:t>
            </w:r>
          </w:p>
        </w:tc>
      </w:tr>
      <w:tr w14:paraId="25D2D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7813207E">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GB/T4797.5-2008</w:t>
            </w:r>
          </w:p>
        </w:tc>
        <w:tc>
          <w:tcPr>
            <w:tcW w:w="6521" w:type="dxa"/>
            <w:tcBorders>
              <w:top w:val="single" w:color="auto" w:sz="4" w:space="0"/>
              <w:left w:val="single" w:color="auto" w:sz="4" w:space="0"/>
              <w:bottom w:val="single" w:color="auto" w:sz="4" w:space="0"/>
              <w:right w:val="single" w:color="auto" w:sz="4" w:space="0"/>
            </w:tcBorders>
            <w:vAlign w:val="center"/>
          </w:tcPr>
          <w:p w14:paraId="0319F175">
            <w:pPr>
              <w:ind w:firstLine="0" w:firstLineChars="0"/>
              <w:rPr>
                <w:rFonts w:hint="eastAsia" w:ascii="仿宋" w:hAnsi="仿宋" w:eastAsia="仿宋" w:cs="仿宋"/>
                <w:sz w:val="21"/>
                <w:szCs w:val="21"/>
              </w:rPr>
            </w:pPr>
            <w:r>
              <w:rPr>
                <w:rFonts w:hint="eastAsia" w:ascii="仿宋" w:hAnsi="仿宋" w:eastAsia="仿宋" w:cs="仿宋"/>
                <w:sz w:val="21"/>
                <w:szCs w:val="21"/>
              </w:rPr>
              <w:t>电工电子产品环境条件分类自然环境条件降水和风</w:t>
            </w:r>
          </w:p>
        </w:tc>
      </w:tr>
      <w:tr w14:paraId="369F1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0E732808">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GB/T13384-2008</w:t>
            </w:r>
          </w:p>
        </w:tc>
        <w:tc>
          <w:tcPr>
            <w:tcW w:w="6521" w:type="dxa"/>
            <w:tcBorders>
              <w:top w:val="single" w:color="auto" w:sz="4" w:space="0"/>
              <w:left w:val="single" w:color="auto" w:sz="4" w:space="0"/>
              <w:bottom w:val="single" w:color="auto" w:sz="4" w:space="0"/>
              <w:right w:val="single" w:color="auto" w:sz="4" w:space="0"/>
            </w:tcBorders>
            <w:vAlign w:val="center"/>
          </w:tcPr>
          <w:p w14:paraId="4F9A7124">
            <w:pPr>
              <w:ind w:firstLine="0" w:firstLineChars="0"/>
              <w:rPr>
                <w:rFonts w:hint="eastAsia" w:ascii="仿宋" w:hAnsi="仿宋" w:eastAsia="仿宋" w:cs="仿宋"/>
                <w:sz w:val="21"/>
                <w:szCs w:val="21"/>
              </w:rPr>
            </w:pPr>
            <w:r>
              <w:rPr>
                <w:rFonts w:hint="eastAsia" w:ascii="仿宋" w:hAnsi="仿宋" w:eastAsia="仿宋" w:cs="仿宋"/>
                <w:sz w:val="21"/>
                <w:szCs w:val="21"/>
              </w:rPr>
              <w:t>机电产品包装通用技术条件</w:t>
            </w:r>
          </w:p>
        </w:tc>
      </w:tr>
      <w:tr w14:paraId="41B07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7CE2702E">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GB/T13422-2013</w:t>
            </w:r>
          </w:p>
        </w:tc>
        <w:tc>
          <w:tcPr>
            <w:tcW w:w="6521" w:type="dxa"/>
            <w:tcBorders>
              <w:top w:val="single" w:color="auto" w:sz="4" w:space="0"/>
              <w:left w:val="single" w:color="auto" w:sz="4" w:space="0"/>
              <w:bottom w:val="single" w:color="auto" w:sz="4" w:space="0"/>
              <w:right w:val="single" w:color="auto" w:sz="4" w:space="0"/>
            </w:tcBorders>
            <w:vAlign w:val="center"/>
          </w:tcPr>
          <w:p w14:paraId="208D8E1B">
            <w:pPr>
              <w:ind w:firstLine="0" w:firstLineChars="0"/>
              <w:rPr>
                <w:rFonts w:hint="eastAsia" w:ascii="仿宋" w:hAnsi="仿宋" w:eastAsia="仿宋" w:cs="仿宋"/>
                <w:sz w:val="21"/>
                <w:szCs w:val="21"/>
              </w:rPr>
            </w:pPr>
            <w:r>
              <w:rPr>
                <w:rFonts w:hint="eastAsia" w:ascii="仿宋" w:hAnsi="仿宋" w:eastAsia="仿宋" w:cs="仿宋"/>
                <w:sz w:val="21"/>
                <w:szCs w:val="21"/>
              </w:rPr>
              <w:t>半导体电力变流器电气试验方法</w:t>
            </w:r>
          </w:p>
        </w:tc>
      </w:tr>
      <w:tr w14:paraId="66025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27FE7FE2">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GB17625.1-2016</w:t>
            </w:r>
          </w:p>
        </w:tc>
        <w:tc>
          <w:tcPr>
            <w:tcW w:w="6521" w:type="dxa"/>
            <w:tcBorders>
              <w:top w:val="single" w:color="auto" w:sz="4" w:space="0"/>
              <w:left w:val="single" w:color="auto" w:sz="4" w:space="0"/>
              <w:bottom w:val="single" w:color="auto" w:sz="4" w:space="0"/>
              <w:right w:val="single" w:color="auto" w:sz="4" w:space="0"/>
            </w:tcBorders>
            <w:vAlign w:val="center"/>
          </w:tcPr>
          <w:p w14:paraId="52291423">
            <w:pPr>
              <w:ind w:firstLine="0" w:firstLineChars="0"/>
              <w:rPr>
                <w:rFonts w:hint="eastAsia" w:ascii="仿宋" w:hAnsi="仿宋" w:eastAsia="仿宋" w:cs="仿宋"/>
                <w:sz w:val="21"/>
                <w:szCs w:val="21"/>
              </w:rPr>
            </w:pPr>
            <w:r>
              <w:rPr>
                <w:rFonts w:hint="eastAsia" w:ascii="仿宋" w:hAnsi="仿宋" w:eastAsia="仿宋" w:cs="仿宋"/>
                <w:sz w:val="21"/>
                <w:szCs w:val="21"/>
              </w:rPr>
              <w:t>电磁兼容限值　波电流发射限值（设备每相输入电流≤16A）</w:t>
            </w:r>
          </w:p>
        </w:tc>
      </w:tr>
      <w:tr w14:paraId="5F471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50AAB2C7">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GB/Z17625.6-2003</w:t>
            </w:r>
          </w:p>
        </w:tc>
        <w:tc>
          <w:tcPr>
            <w:tcW w:w="6521" w:type="dxa"/>
            <w:tcBorders>
              <w:top w:val="single" w:color="auto" w:sz="4" w:space="0"/>
              <w:left w:val="single" w:color="auto" w:sz="4" w:space="0"/>
              <w:bottom w:val="single" w:color="auto" w:sz="4" w:space="0"/>
              <w:right w:val="single" w:color="auto" w:sz="4" w:space="0"/>
            </w:tcBorders>
            <w:vAlign w:val="center"/>
          </w:tcPr>
          <w:p w14:paraId="27080EF0">
            <w:pPr>
              <w:ind w:firstLine="0" w:firstLineChars="0"/>
              <w:rPr>
                <w:rFonts w:hint="eastAsia" w:ascii="仿宋" w:hAnsi="仿宋" w:eastAsia="仿宋" w:cs="仿宋"/>
                <w:sz w:val="21"/>
                <w:szCs w:val="21"/>
              </w:rPr>
            </w:pPr>
            <w:r>
              <w:rPr>
                <w:rFonts w:hint="eastAsia" w:ascii="仿宋" w:hAnsi="仿宋" w:eastAsia="仿宋" w:cs="仿宋"/>
                <w:sz w:val="21"/>
                <w:szCs w:val="21"/>
              </w:rPr>
              <w:t>电磁兼容限值对额定电流大于16A的设备在低压供电系统中产生的谐波电流的限制</w:t>
            </w:r>
          </w:p>
        </w:tc>
      </w:tr>
      <w:tr w14:paraId="02D10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5E9C78DF">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GB/T17626.2-2006</w:t>
            </w:r>
          </w:p>
        </w:tc>
        <w:tc>
          <w:tcPr>
            <w:tcW w:w="6521" w:type="dxa"/>
            <w:tcBorders>
              <w:top w:val="single" w:color="auto" w:sz="4" w:space="0"/>
              <w:left w:val="single" w:color="auto" w:sz="4" w:space="0"/>
              <w:bottom w:val="single" w:color="auto" w:sz="4" w:space="0"/>
              <w:right w:val="single" w:color="auto" w:sz="4" w:space="0"/>
            </w:tcBorders>
            <w:vAlign w:val="center"/>
          </w:tcPr>
          <w:p w14:paraId="01E46400">
            <w:pPr>
              <w:ind w:firstLine="0" w:firstLineChars="0"/>
              <w:rPr>
                <w:rFonts w:hint="eastAsia" w:ascii="仿宋" w:hAnsi="仿宋" w:eastAsia="仿宋" w:cs="仿宋"/>
                <w:sz w:val="21"/>
                <w:szCs w:val="21"/>
              </w:rPr>
            </w:pPr>
            <w:r>
              <w:rPr>
                <w:rFonts w:hint="eastAsia" w:ascii="仿宋" w:hAnsi="仿宋" w:eastAsia="仿宋" w:cs="仿宋"/>
                <w:sz w:val="21"/>
                <w:szCs w:val="21"/>
              </w:rPr>
              <w:t>电磁兼容试验和测量技术静电放电抗扰度试验</w:t>
            </w:r>
          </w:p>
        </w:tc>
      </w:tr>
      <w:tr w14:paraId="29036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62709CA8">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GB/T17626.3-2006</w:t>
            </w:r>
          </w:p>
        </w:tc>
        <w:tc>
          <w:tcPr>
            <w:tcW w:w="6521" w:type="dxa"/>
            <w:tcBorders>
              <w:top w:val="single" w:color="auto" w:sz="4" w:space="0"/>
              <w:left w:val="single" w:color="auto" w:sz="4" w:space="0"/>
              <w:bottom w:val="single" w:color="auto" w:sz="4" w:space="0"/>
              <w:right w:val="single" w:color="auto" w:sz="4" w:space="0"/>
            </w:tcBorders>
            <w:vAlign w:val="center"/>
          </w:tcPr>
          <w:p w14:paraId="437E5834">
            <w:pPr>
              <w:ind w:firstLine="0" w:firstLineChars="0"/>
              <w:rPr>
                <w:rFonts w:hint="eastAsia" w:ascii="仿宋" w:hAnsi="仿宋" w:eastAsia="仿宋" w:cs="仿宋"/>
                <w:sz w:val="21"/>
                <w:szCs w:val="21"/>
              </w:rPr>
            </w:pPr>
            <w:r>
              <w:rPr>
                <w:rFonts w:hint="eastAsia" w:ascii="仿宋" w:hAnsi="仿宋" w:eastAsia="仿宋" w:cs="仿宋"/>
                <w:sz w:val="21"/>
                <w:szCs w:val="21"/>
              </w:rPr>
              <w:t>电磁兼容　试验和测量技术　射频电磁场辐射抗扰度试验</w:t>
            </w:r>
          </w:p>
        </w:tc>
      </w:tr>
      <w:tr w14:paraId="64EC9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372D9745">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GB/T17626.4-2008</w:t>
            </w:r>
          </w:p>
        </w:tc>
        <w:tc>
          <w:tcPr>
            <w:tcW w:w="6521" w:type="dxa"/>
            <w:tcBorders>
              <w:top w:val="single" w:color="auto" w:sz="4" w:space="0"/>
              <w:left w:val="single" w:color="auto" w:sz="4" w:space="0"/>
              <w:bottom w:val="single" w:color="auto" w:sz="4" w:space="0"/>
              <w:right w:val="single" w:color="auto" w:sz="4" w:space="0"/>
            </w:tcBorders>
            <w:vAlign w:val="center"/>
          </w:tcPr>
          <w:p w14:paraId="7A67866C">
            <w:pPr>
              <w:ind w:firstLine="0" w:firstLineChars="0"/>
              <w:rPr>
                <w:rFonts w:hint="eastAsia" w:ascii="仿宋" w:hAnsi="仿宋" w:eastAsia="仿宋" w:cs="仿宋"/>
                <w:sz w:val="21"/>
                <w:szCs w:val="21"/>
              </w:rPr>
            </w:pPr>
            <w:r>
              <w:rPr>
                <w:rFonts w:hint="eastAsia" w:ascii="仿宋" w:hAnsi="仿宋" w:eastAsia="仿宋" w:cs="仿宋"/>
                <w:sz w:val="21"/>
                <w:szCs w:val="21"/>
              </w:rPr>
              <w:t>电磁兼容　试验和测量技术　电快速瞬变脉冲群抗扰度试验</w:t>
            </w:r>
          </w:p>
        </w:tc>
      </w:tr>
      <w:tr w14:paraId="53AD8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264BB952">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GB/T17626.5-2008</w:t>
            </w:r>
          </w:p>
        </w:tc>
        <w:tc>
          <w:tcPr>
            <w:tcW w:w="6521" w:type="dxa"/>
            <w:tcBorders>
              <w:top w:val="single" w:color="auto" w:sz="4" w:space="0"/>
              <w:left w:val="single" w:color="auto" w:sz="4" w:space="0"/>
              <w:bottom w:val="single" w:color="auto" w:sz="4" w:space="0"/>
              <w:right w:val="single" w:color="auto" w:sz="4" w:space="0"/>
            </w:tcBorders>
            <w:vAlign w:val="center"/>
          </w:tcPr>
          <w:p w14:paraId="3E567F49">
            <w:pPr>
              <w:ind w:firstLine="0" w:firstLineChars="0"/>
              <w:rPr>
                <w:rFonts w:hint="eastAsia" w:ascii="仿宋" w:hAnsi="仿宋" w:eastAsia="仿宋" w:cs="仿宋"/>
                <w:sz w:val="21"/>
                <w:szCs w:val="21"/>
              </w:rPr>
            </w:pPr>
            <w:r>
              <w:rPr>
                <w:rFonts w:hint="eastAsia" w:ascii="仿宋" w:hAnsi="仿宋" w:eastAsia="仿宋" w:cs="仿宋"/>
                <w:sz w:val="21"/>
                <w:szCs w:val="21"/>
              </w:rPr>
              <w:t>电磁兼容　试验和测量技术　浪涌(冲击)抗扰度试验</w:t>
            </w:r>
          </w:p>
        </w:tc>
      </w:tr>
      <w:tr w14:paraId="4BF79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3605192F">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GB/T17626.11-2008</w:t>
            </w:r>
          </w:p>
        </w:tc>
        <w:tc>
          <w:tcPr>
            <w:tcW w:w="6521" w:type="dxa"/>
            <w:tcBorders>
              <w:top w:val="single" w:color="auto" w:sz="4" w:space="0"/>
              <w:left w:val="single" w:color="auto" w:sz="4" w:space="0"/>
              <w:bottom w:val="single" w:color="auto" w:sz="4" w:space="0"/>
              <w:right w:val="single" w:color="auto" w:sz="4" w:space="0"/>
            </w:tcBorders>
            <w:vAlign w:val="center"/>
          </w:tcPr>
          <w:p w14:paraId="19C60A4B">
            <w:pPr>
              <w:ind w:firstLine="0" w:firstLineChars="0"/>
              <w:rPr>
                <w:rFonts w:hint="eastAsia" w:ascii="仿宋" w:hAnsi="仿宋" w:eastAsia="仿宋" w:cs="仿宋"/>
                <w:sz w:val="21"/>
                <w:szCs w:val="21"/>
              </w:rPr>
            </w:pPr>
            <w:r>
              <w:rPr>
                <w:rFonts w:hint="eastAsia" w:ascii="仿宋" w:hAnsi="仿宋" w:eastAsia="仿宋" w:cs="仿宋"/>
                <w:sz w:val="21"/>
                <w:szCs w:val="21"/>
              </w:rPr>
              <w:t>电磁兼容　试验和测量技术　电压暂降、短时中断和电压变化的抗扰度试验</w:t>
            </w:r>
          </w:p>
        </w:tc>
      </w:tr>
      <w:tr w14:paraId="59FAA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47031DE5">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GB/T19826-2005</w:t>
            </w:r>
          </w:p>
        </w:tc>
        <w:tc>
          <w:tcPr>
            <w:tcW w:w="6521" w:type="dxa"/>
            <w:tcBorders>
              <w:top w:val="single" w:color="auto" w:sz="4" w:space="0"/>
              <w:left w:val="single" w:color="auto" w:sz="4" w:space="0"/>
              <w:bottom w:val="single" w:color="auto" w:sz="4" w:space="0"/>
              <w:right w:val="single" w:color="auto" w:sz="4" w:space="0"/>
            </w:tcBorders>
            <w:vAlign w:val="center"/>
          </w:tcPr>
          <w:p w14:paraId="12CE3F3A">
            <w:pPr>
              <w:ind w:firstLine="0" w:firstLineChars="0"/>
              <w:rPr>
                <w:rFonts w:hint="eastAsia" w:ascii="仿宋" w:hAnsi="仿宋" w:eastAsia="仿宋" w:cs="仿宋"/>
                <w:sz w:val="21"/>
                <w:szCs w:val="21"/>
              </w:rPr>
            </w:pPr>
            <w:r>
              <w:rPr>
                <w:rFonts w:hint="eastAsia" w:ascii="仿宋" w:hAnsi="仿宋" w:eastAsia="仿宋" w:cs="仿宋"/>
                <w:sz w:val="21"/>
                <w:szCs w:val="21"/>
              </w:rPr>
              <w:t>电力工程直流电源设备通用技术条件及安全要求</w:t>
            </w:r>
          </w:p>
        </w:tc>
      </w:tr>
      <w:tr w14:paraId="19459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742BE4B1">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GB/T29317-2012</w:t>
            </w:r>
          </w:p>
        </w:tc>
        <w:tc>
          <w:tcPr>
            <w:tcW w:w="6521" w:type="dxa"/>
            <w:tcBorders>
              <w:top w:val="single" w:color="auto" w:sz="4" w:space="0"/>
              <w:left w:val="single" w:color="auto" w:sz="4" w:space="0"/>
              <w:bottom w:val="single" w:color="auto" w:sz="4" w:space="0"/>
              <w:right w:val="single" w:color="auto" w:sz="4" w:space="0"/>
            </w:tcBorders>
            <w:vAlign w:val="center"/>
          </w:tcPr>
          <w:p w14:paraId="488215D3">
            <w:pPr>
              <w:ind w:firstLine="0" w:firstLineChars="0"/>
              <w:rPr>
                <w:rFonts w:hint="eastAsia" w:ascii="仿宋" w:hAnsi="仿宋" w:eastAsia="仿宋" w:cs="仿宋"/>
                <w:sz w:val="21"/>
                <w:szCs w:val="21"/>
              </w:rPr>
            </w:pPr>
            <w:r>
              <w:rPr>
                <w:rFonts w:hint="eastAsia" w:ascii="仿宋" w:hAnsi="仿宋" w:eastAsia="仿宋" w:cs="仿宋"/>
                <w:sz w:val="21"/>
                <w:szCs w:val="21"/>
              </w:rPr>
              <w:t>电动汽车充换电设施术语</w:t>
            </w:r>
          </w:p>
        </w:tc>
      </w:tr>
      <w:tr w14:paraId="20E3B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30BA790A">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GB/T29316-2012</w:t>
            </w:r>
          </w:p>
        </w:tc>
        <w:tc>
          <w:tcPr>
            <w:tcW w:w="6521" w:type="dxa"/>
            <w:tcBorders>
              <w:top w:val="single" w:color="auto" w:sz="4" w:space="0"/>
              <w:left w:val="single" w:color="auto" w:sz="4" w:space="0"/>
              <w:bottom w:val="single" w:color="auto" w:sz="4" w:space="0"/>
              <w:right w:val="single" w:color="auto" w:sz="4" w:space="0"/>
            </w:tcBorders>
            <w:vAlign w:val="center"/>
          </w:tcPr>
          <w:p w14:paraId="317B9CE2">
            <w:pPr>
              <w:ind w:firstLine="0" w:firstLineChars="0"/>
              <w:rPr>
                <w:rFonts w:hint="eastAsia" w:ascii="仿宋" w:hAnsi="仿宋" w:eastAsia="仿宋" w:cs="仿宋"/>
                <w:sz w:val="21"/>
                <w:szCs w:val="21"/>
              </w:rPr>
            </w:pPr>
            <w:r>
              <w:rPr>
                <w:rFonts w:hint="eastAsia" w:ascii="仿宋" w:hAnsi="仿宋" w:eastAsia="仿宋" w:cs="仿宋"/>
                <w:sz w:val="21"/>
                <w:szCs w:val="21"/>
              </w:rPr>
              <w:t>电动汽车充换电设施电能质量技术要求</w:t>
            </w:r>
          </w:p>
        </w:tc>
      </w:tr>
      <w:tr w14:paraId="6EB05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5588D010">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GB/T33708-2017</w:t>
            </w:r>
          </w:p>
        </w:tc>
        <w:tc>
          <w:tcPr>
            <w:tcW w:w="6521" w:type="dxa"/>
            <w:tcBorders>
              <w:top w:val="single" w:color="auto" w:sz="4" w:space="0"/>
              <w:left w:val="single" w:color="auto" w:sz="4" w:space="0"/>
              <w:bottom w:val="single" w:color="auto" w:sz="4" w:space="0"/>
              <w:right w:val="single" w:color="auto" w:sz="4" w:space="0"/>
            </w:tcBorders>
            <w:vAlign w:val="center"/>
          </w:tcPr>
          <w:p w14:paraId="728387A6">
            <w:pPr>
              <w:ind w:firstLine="0" w:firstLineChars="0"/>
              <w:rPr>
                <w:rFonts w:hint="eastAsia" w:ascii="仿宋" w:hAnsi="仿宋" w:eastAsia="仿宋" w:cs="仿宋"/>
                <w:sz w:val="21"/>
                <w:szCs w:val="21"/>
              </w:rPr>
            </w:pPr>
            <w:r>
              <w:rPr>
                <w:rFonts w:hint="eastAsia" w:ascii="仿宋" w:hAnsi="仿宋" w:eastAsia="仿宋" w:cs="仿宋"/>
                <w:sz w:val="21"/>
                <w:szCs w:val="21"/>
              </w:rPr>
              <w:t>静止式直流电能表</w:t>
            </w:r>
          </w:p>
        </w:tc>
      </w:tr>
      <w:tr w14:paraId="59D00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71564CD5">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Q/GDW1825-2013</w:t>
            </w:r>
          </w:p>
        </w:tc>
        <w:tc>
          <w:tcPr>
            <w:tcW w:w="6521" w:type="dxa"/>
            <w:tcBorders>
              <w:top w:val="single" w:color="auto" w:sz="4" w:space="0"/>
              <w:left w:val="single" w:color="auto" w:sz="4" w:space="0"/>
              <w:bottom w:val="single" w:color="auto" w:sz="4" w:space="0"/>
              <w:right w:val="single" w:color="auto" w:sz="4" w:space="0"/>
            </w:tcBorders>
            <w:vAlign w:val="center"/>
          </w:tcPr>
          <w:p w14:paraId="06E02BB4">
            <w:pPr>
              <w:ind w:firstLine="0" w:firstLineChars="0"/>
              <w:rPr>
                <w:rFonts w:hint="eastAsia" w:ascii="仿宋" w:hAnsi="仿宋" w:eastAsia="仿宋" w:cs="仿宋"/>
                <w:sz w:val="21"/>
                <w:szCs w:val="21"/>
              </w:rPr>
            </w:pPr>
            <w:r>
              <w:rPr>
                <w:rFonts w:hint="eastAsia" w:ascii="仿宋" w:hAnsi="仿宋" w:eastAsia="仿宋" w:cs="仿宋"/>
                <w:sz w:val="21"/>
                <w:szCs w:val="21"/>
              </w:rPr>
              <w:t>直流电能表技术规范</w:t>
            </w:r>
          </w:p>
        </w:tc>
      </w:tr>
      <w:tr w14:paraId="578B8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69CC5F3F">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JJG842-2017</w:t>
            </w:r>
          </w:p>
        </w:tc>
        <w:tc>
          <w:tcPr>
            <w:tcW w:w="6521" w:type="dxa"/>
            <w:tcBorders>
              <w:top w:val="single" w:color="auto" w:sz="4" w:space="0"/>
              <w:left w:val="single" w:color="auto" w:sz="4" w:space="0"/>
              <w:bottom w:val="single" w:color="auto" w:sz="4" w:space="0"/>
              <w:right w:val="single" w:color="auto" w:sz="4" w:space="0"/>
            </w:tcBorders>
            <w:vAlign w:val="center"/>
          </w:tcPr>
          <w:p w14:paraId="2D62243E">
            <w:pPr>
              <w:ind w:firstLine="0" w:firstLineChars="0"/>
              <w:rPr>
                <w:rFonts w:hint="eastAsia" w:ascii="仿宋" w:hAnsi="仿宋" w:eastAsia="仿宋" w:cs="仿宋"/>
                <w:sz w:val="21"/>
                <w:szCs w:val="21"/>
              </w:rPr>
            </w:pPr>
            <w:r>
              <w:rPr>
                <w:rFonts w:hint="eastAsia" w:ascii="仿宋" w:hAnsi="仿宋" w:eastAsia="仿宋" w:cs="仿宋"/>
                <w:sz w:val="21"/>
                <w:szCs w:val="21"/>
              </w:rPr>
              <w:t>电子式直流电能表检定规程</w:t>
            </w:r>
          </w:p>
        </w:tc>
      </w:tr>
      <w:tr w14:paraId="28867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5BF5FB6B">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GB/T29318-2012</w:t>
            </w:r>
          </w:p>
        </w:tc>
        <w:tc>
          <w:tcPr>
            <w:tcW w:w="6521" w:type="dxa"/>
            <w:tcBorders>
              <w:top w:val="single" w:color="auto" w:sz="4" w:space="0"/>
              <w:left w:val="single" w:color="auto" w:sz="4" w:space="0"/>
              <w:bottom w:val="single" w:color="auto" w:sz="4" w:space="0"/>
              <w:right w:val="single" w:color="auto" w:sz="4" w:space="0"/>
            </w:tcBorders>
            <w:vAlign w:val="center"/>
          </w:tcPr>
          <w:p w14:paraId="2E6AF3CC">
            <w:pPr>
              <w:ind w:firstLine="0" w:firstLineChars="0"/>
              <w:rPr>
                <w:rFonts w:hint="eastAsia" w:ascii="仿宋" w:hAnsi="仿宋" w:eastAsia="仿宋" w:cs="仿宋"/>
                <w:sz w:val="21"/>
                <w:szCs w:val="21"/>
              </w:rPr>
            </w:pPr>
            <w:r>
              <w:rPr>
                <w:rFonts w:hint="eastAsia" w:ascii="仿宋" w:hAnsi="仿宋" w:eastAsia="仿宋" w:cs="仿宋"/>
                <w:sz w:val="21"/>
                <w:szCs w:val="21"/>
              </w:rPr>
              <w:t>电动汽车非车载充电机电能计量</w:t>
            </w:r>
          </w:p>
        </w:tc>
      </w:tr>
      <w:tr w14:paraId="6E7F8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60AD7B46">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Q/GDW1354-2013</w:t>
            </w:r>
          </w:p>
        </w:tc>
        <w:tc>
          <w:tcPr>
            <w:tcW w:w="6521" w:type="dxa"/>
            <w:tcBorders>
              <w:top w:val="single" w:color="auto" w:sz="4" w:space="0"/>
              <w:left w:val="single" w:color="auto" w:sz="4" w:space="0"/>
              <w:bottom w:val="single" w:color="auto" w:sz="4" w:space="0"/>
              <w:right w:val="single" w:color="auto" w:sz="4" w:space="0"/>
            </w:tcBorders>
          </w:tcPr>
          <w:p w14:paraId="08447938">
            <w:pPr>
              <w:ind w:firstLine="0" w:firstLineChars="0"/>
              <w:rPr>
                <w:rFonts w:hint="eastAsia" w:ascii="仿宋" w:hAnsi="仿宋" w:eastAsia="仿宋" w:cs="仿宋"/>
                <w:sz w:val="21"/>
                <w:szCs w:val="21"/>
              </w:rPr>
            </w:pPr>
            <w:r>
              <w:rPr>
                <w:rFonts w:hint="eastAsia" w:ascii="仿宋" w:hAnsi="仿宋" w:eastAsia="仿宋" w:cs="仿宋"/>
                <w:sz w:val="21"/>
                <w:szCs w:val="21"/>
              </w:rPr>
              <w:t>智能电能表功能规范</w:t>
            </w:r>
          </w:p>
        </w:tc>
      </w:tr>
      <w:tr w14:paraId="55B1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28065DC3">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Q/GDW1364-2013</w:t>
            </w:r>
          </w:p>
        </w:tc>
        <w:tc>
          <w:tcPr>
            <w:tcW w:w="6521" w:type="dxa"/>
            <w:tcBorders>
              <w:top w:val="single" w:color="auto" w:sz="4" w:space="0"/>
              <w:left w:val="single" w:color="auto" w:sz="4" w:space="0"/>
              <w:bottom w:val="single" w:color="auto" w:sz="4" w:space="0"/>
              <w:right w:val="single" w:color="auto" w:sz="4" w:space="0"/>
            </w:tcBorders>
          </w:tcPr>
          <w:p w14:paraId="59AC9C36">
            <w:pPr>
              <w:ind w:firstLine="0" w:firstLineChars="0"/>
              <w:rPr>
                <w:rFonts w:hint="eastAsia" w:ascii="仿宋" w:hAnsi="仿宋" w:eastAsia="仿宋" w:cs="仿宋"/>
                <w:sz w:val="21"/>
                <w:szCs w:val="21"/>
              </w:rPr>
            </w:pPr>
            <w:r>
              <w:rPr>
                <w:rFonts w:hint="eastAsia" w:ascii="仿宋" w:hAnsi="仿宋" w:eastAsia="仿宋" w:cs="仿宋"/>
                <w:sz w:val="21"/>
                <w:szCs w:val="21"/>
              </w:rPr>
              <w:t>单相智能电能表技术规范</w:t>
            </w:r>
          </w:p>
        </w:tc>
      </w:tr>
      <w:tr w14:paraId="4F377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7689E685">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JJG1069-2011</w:t>
            </w:r>
          </w:p>
        </w:tc>
        <w:tc>
          <w:tcPr>
            <w:tcW w:w="6521" w:type="dxa"/>
            <w:tcBorders>
              <w:top w:val="single" w:color="auto" w:sz="4" w:space="0"/>
              <w:left w:val="single" w:color="auto" w:sz="4" w:space="0"/>
              <w:bottom w:val="single" w:color="auto" w:sz="4" w:space="0"/>
              <w:right w:val="single" w:color="auto" w:sz="4" w:space="0"/>
            </w:tcBorders>
            <w:vAlign w:val="center"/>
          </w:tcPr>
          <w:p w14:paraId="4C65E8F5">
            <w:pPr>
              <w:ind w:firstLine="0" w:firstLineChars="0"/>
              <w:rPr>
                <w:rFonts w:hint="eastAsia" w:ascii="仿宋" w:hAnsi="仿宋" w:eastAsia="仿宋" w:cs="仿宋"/>
                <w:sz w:val="21"/>
                <w:szCs w:val="21"/>
              </w:rPr>
            </w:pPr>
            <w:r>
              <w:rPr>
                <w:rFonts w:hint="eastAsia" w:ascii="仿宋" w:hAnsi="仿宋" w:eastAsia="仿宋" w:cs="仿宋"/>
                <w:sz w:val="21"/>
                <w:szCs w:val="21"/>
              </w:rPr>
              <w:t>直流分流器检定规程</w:t>
            </w:r>
          </w:p>
        </w:tc>
      </w:tr>
      <w:tr w14:paraId="55DB0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31FB0343">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DL/T645-2007</w:t>
            </w:r>
          </w:p>
        </w:tc>
        <w:tc>
          <w:tcPr>
            <w:tcW w:w="6521" w:type="dxa"/>
            <w:tcBorders>
              <w:top w:val="single" w:color="auto" w:sz="4" w:space="0"/>
              <w:left w:val="single" w:color="auto" w:sz="4" w:space="0"/>
              <w:bottom w:val="single" w:color="auto" w:sz="4" w:space="0"/>
              <w:right w:val="single" w:color="auto" w:sz="4" w:space="0"/>
            </w:tcBorders>
            <w:vAlign w:val="center"/>
          </w:tcPr>
          <w:p w14:paraId="7C5887AE">
            <w:pPr>
              <w:ind w:firstLine="0" w:firstLineChars="0"/>
              <w:rPr>
                <w:rFonts w:hint="eastAsia" w:ascii="仿宋" w:hAnsi="仿宋" w:eastAsia="仿宋" w:cs="仿宋"/>
                <w:sz w:val="21"/>
                <w:szCs w:val="21"/>
              </w:rPr>
            </w:pPr>
            <w:r>
              <w:rPr>
                <w:rFonts w:hint="eastAsia" w:ascii="仿宋" w:hAnsi="仿宋" w:eastAsia="仿宋" w:cs="仿宋"/>
                <w:sz w:val="21"/>
                <w:szCs w:val="21"/>
              </w:rPr>
              <w:t>多功能电能表通信协议</w:t>
            </w:r>
          </w:p>
        </w:tc>
      </w:tr>
      <w:tr w14:paraId="78775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462D7967">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GB/T18487.1-2015</w:t>
            </w:r>
          </w:p>
        </w:tc>
        <w:tc>
          <w:tcPr>
            <w:tcW w:w="6521" w:type="dxa"/>
            <w:tcBorders>
              <w:top w:val="single" w:color="auto" w:sz="4" w:space="0"/>
              <w:left w:val="single" w:color="auto" w:sz="4" w:space="0"/>
              <w:bottom w:val="single" w:color="auto" w:sz="4" w:space="0"/>
              <w:right w:val="single" w:color="auto" w:sz="4" w:space="0"/>
            </w:tcBorders>
            <w:vAlign w:val="center"/>
          </w:tcPr>
          <w:p w14:paraId="06B8B89F">
            <w:pPr>
              <w:ind w:firstLine="0" w:firstLineChars="0"/>
              <w:rPr>
                <w:rFonts w:hint="eastAsia" w:ascii="仿宋" w:hAnsi="仿宋" w:eastAsia="仿宋" w:cs="仿宋"/>
                <w:sz w:val="21"/>
                <w:szCs w:val="21"/>
              </w:rPr>
            </w:pPr>
            <w:r>
              <w:rPr>
                <w:rFonts w:hint="eastAsia" w:ascii="仿宋" w:hAnsi="仿宋" w:eastAsia="仿宋" w:cs="仿宋"/>
                <w:sz w:val="21"/>
                <w:szCs w:val="21"/>
              </w:rPr>
              <w:t>电动车辆传导充电系统第1部分：通用要求</w:t>
            </w:r>
          </w:p>
        </w:tc>
      </w:tr>
      <w:tr w14:paraId="57FE9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61656F60">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GB/T27930-2015</w:t>
            </w:r>
          </w:p>
        </w:tc>
        <w:tc>
          <w:tcPr>
            <w:tcW w:w="6521" w:type="dxa"/>
            <w:tcBorders>
              <w:top w:val="single" w:color="auto" w:sz="4" w:space="0"/>
              <w:left w:val="single" w:color="auto" w:sz="4" w:space="0"/>
              <w:bottom w:val="single" w:color="auto" w:sz="4" w:space="0"/>
              <w:right w:val="single" w:color="auto" w:sz="4" w:space="0"/>
            </w:tcBorders>
            <w:vAlign w:val="center"/>
          </w:tcPr>
          <w:p w14:paraId="59B059E1">
            <w:pPr>
              <w:ind w:firstLine="0" w:firstLineChars="0"/>
              <w:rPr>
                <w:rFonts w:hint="eastAsia" w:ascii="仿宋" w:hAnsi="仿宋" w:eastAsia="仿宋" w:cs="仿宋"/>
                <w:sz w:val="21"/>
                <w:szCs w:val="21"/>
              </w:rPr>
            </w:pPr>
            <w:r>
              <w:rPr>
                <w:rFonts w:hint="eastAsia" w:ascii="仿宋" w:hAnsi="仿宋" w:eastAsia="仿宋" w:cs="仿宋"/>
                <w:sz w:val="21"/>
                <w:szCs w:val="21"/>
              </w:rPr>
              <w:t>电动汽车非车载传导式充电机与电池管理系统之间的充电协议</w:t>
            </w:r>
          </w:p>
        </w:tc>
      </w:tr>
      <w:tr w14:paraId="19723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19748D33">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GB/T20234.1-2015</w:t>
            </w:r>
          </w:p>
        </w:tc>
        <w:tc>
          <w:tcPr>
            <w:tcW w:w="6521" w:type="dxa"/>
            <w:tcBorders>
              <w:top w:val="single" w:color="auto" w:sz="4" w:space="0"/>
              <w:left w:val="single" w:color="auto" w:sz="4" w:space="0"/>
              <w:bottom w:val="single" w:color="auto" w:sz="4" w:space="0"/>
              <w:right w:val="single" w:color="auto" w:sz="4" w:space="0"/>
            </w:tcBorders>
            <w:vAlign w:val="center"/>
          </w:tcPr>
          <w:p w14:paraId="0ADA1AEE">
            <w:pPr>
              <w:ind w:firstLine="0" w:firstLineChars="0"/>
              <w:rPr>
                <w:rFonts w:hint="eastAsia" w:ascii="仿宋" w:hAnsi="仿宋" w:eastAsia="仿宋" w:cs="仿宋"/>
                <w:sz w:val="21"/>
                <w:szCs w:val="21"/>
              </w:rPr>
            </w:pPr>
            <w:r>
              <w:rPr>
                <w:rFonts w:hint="eastAsia" w:ascii="仿宋" w:hAnsi="仿宋" w:eastAsia="仿宋" w:cs="仿宋"/>
                <w:sz w:val="21"/>
                <w:szCs w:val="21"/>
              </w:rPr>
              <w:t>电动汽车传导充电用连接装置第1部分：通用要求</w:t>
            </w:r>
          </w:p>
        </w:tc>
      </w:tr>
      <w:tr w14:paraId="06440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380C7BC8">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GB/T20234.2-2015</w:t>
            </w:r>
          </w:p>
        </w:tc>
        <w:tc>
          <w:tcPr>
            <w:tcW w:w="6521" w:type="dxa"/>
            <w:tcBorders>
              <w:top w:val="single" w:color="auto" w:sz="4" w:space="0"/>
              <w:left w:val="single" w:color="auto" w:sz="4" w:space="0"/>
              <w:bottom w:val="single" w:color="auto" w:sz="4" w:space="0"/>
              <w:right w:val="single" w:color="auto" w:sz="4" w:space="0"/>
            </w:tcBorders>
          </w:tcPr>
          <w:p w14:paraId="5C1BD75F">
            <w:pPr>
              <w:ind w:firstLine="0" w:firstLineChars="0"/>
              <w:rPr>
                <w:rFonts w:hint="eastAsia" w:ascii="仿宋" w:hAnsi="仿宋" w:eastAsia="仿宋" w:cs="仿宋"/>
                <w:sz w:val="21"/>
                <w:szCs w:val="21"/>
              </w:rPr>
            </w:pPr>
            <w:r>
              <w:rPr>
                <w:rFonts w:hint="eastAsia" w:ascii="仿宋" w:hAnsi="仿宋" w:eastAsia="仿宋" w:cs="仿宋"/>
                <w:sz w:val="21"/>
                <w:szCs w:val="21"/>
              </w:rPr>
              <w:t>电动汽车传导充电连接装置　第2部分：交流充电接口</w:t>
            </w:r>
          </w:p>
        </w:tc>
      </w:tr>
      <w:tr w14:paraId="2E01A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29D97DB3">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GB/T20234.3-2015</w:t>
            </w:r>
          </w:p>
        </w:tc>
        <w:tc>
          <w:tcPr>
            <w:tcW w:w="6521" w:type="dxa"/>
            <w:tcBorders>
              <w:top w:val="single" w:color="auto" w:sz="4" w:space="0"/>
              <w:left w:val="single" w:color="auto" w:sz="4" w:space="0"/>
              <w:bottom w:val="single" w:color="auto" w:sz="4" w:space="0"/>
              <w:right w:val="single" w:color="auto" w:sz="4" w:space="0"/>
            </w:tcBorders>
            <w:vAlign w:val="center"/>
          </w:tcPr>
          <w:p w14:paraId="5AA79BEB">
            <w:pPr>
              <w:ind w:firstLine="0" w:firstLineChars="0"/>
              <w:rPr>
                <w:rFonts w:hint="eastAsia" w:ascii="仿宋" w:hAnsi="仿宋" w:eastAsia="仿宋" w:cs="仿宋"/>
                <w:sz w:val="21"/>
                <w:szCs w:val="21"/>
              </w:rPr>
            </w:pPr>
            <w:r>
              <w:rPr>
                <w:rFonts w:hint="eastAsia" w:ascii="仿宋" w:hAnsi="仿宋" w:eastAsia="仿宋" w:cs="仿宋"/>
                <w:sz w:val="21"/>
                <w:szCs w:val="21"/>
              </w:rPr>
              <w:t>电动汽车传导充电用连接装置第3部分：直流充电接口</w:t>
            </w:r>
          </w:p>
        </w:tc>
      </w:tr>
      <w:tr w14:paraId="6F90F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352AFDC9">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NB/T33001-2018</w:t>
            </w:r>
          </w:p>
        </w:tc>
        <w:tc>
          <w:tcPr>
            <w:tcW w:w="6521" w:type="dxa"/>
            <w:tcBorders>
              <w:top w:val="single" w:color="auto" w:sz="4" w:space="0"/>
              <w:left w:val="single" w:color="auto" w:sz="4" w:space="0"/>
              <w:bottom w:val="single" w:color="auto" w:sz="4" w:space="0"/>
              <w:right w:val="single" w:color="auto" w:sz="4" w:space="0"/>
            </w:tcBorders>
            <w:vAlign w:val="center"/>
          </w:tcPr>
          <w:p w14:paraId="6D88A741">
            <w:pPr>
              <w:ind w:firstLine="0" w:firstLineChars="0"/>
              <w:rPr>
                <w:rFonts w:hint="eastAsia" w:ascii="仿宋" w:hAnsi="仿宋" w:eastAsia="仿宋" w:cs="仿宋"/>
                <w:sz w:val="21"/>
                <w:szCs w:val="21"/>
              </w:rPr>
            </w:pPr>
            <w:r>
              <w:rPr>
                <w:rFonts w:hint="eastAsia" w:ascii="仿宋" w:hAnsi="仿宋" w:eastAsia="仿宋" w:cs="仿宋"/>
                <w:sz w:val="21"/>
                <w:szCs w:val="21"/>
              </w:rPr>
              <w:t>电动汽车非车载传导式充电机技术条件</w:t>
            </w:r>
          </w:p>
        </w:tc>
      </w:tr>
      <w:tr w14:paraId="0D8E5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3D35E754">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NB/T33008.1-2018</w:t>
            </w:r>
          </w:p>
        </w:tc>
        <w:tc>
          <w:tcPr>
            <w:tcW w:w="6521" w:type="dxa"/>
            <w:tcBorders>
              <w:top w:val="single" w:color="auto" w:sz="4" w:space="0"/>
              <w:left w:val="single" w:color="auto" w:sz="4" w:space="0"/>
              <w:bottom w:val="single" w:color="auto" w:sz="4" w:space="0"/>
              <w:right w:val="single" w:color="auto" w:sz="4" w:space="0"/>
            </w:tcBorders>
            <w:vAlign w:val="center"/>
          </w:tcPr>
          <w:p w14:paraId="3C9C2314">
            <w:pPr>
              <w:ind w:firstLine="0" w:firstLineChars="0"/>
              <w:rPr>
                <w:rFonts w:hint="eastAsia" w:ascii="仿宋" w:hAnsi="仿宋" w:eastAsia="仿宋" w:cs="仿宋"/>
                <w:sz w:val="21"/>
                <w:szCs w:val="21"/>
              </w:rPr>
            </w:pPr>
            <w:r>
              <w:rPr>
                <w:rFonts w:hint="eastAsia" w:ascii="仿宋" w:hAnsi="仿宋" w:eastAsia="仿宋" w:cs="仿宋"/>
                <w:sz w:val="21"/>
                <w:szCs w:val="21"/>
              </w:rPr>
              <w:t>电动汽车充电设备检验试验规范第1部分：非车载充电机</w:t>
            </w:r>
          </w:p>
        </w:tc>
      </w:tr>
      <w:tr w14:paraId="69CAD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2" w:type="dxa"/>
            <w:tcBorders>
              <w:top w:val="single" w:color="auto" w:sz="4" w:space="0"/>
              <w:left w:val="single" w:color="auto" w:sz="4" w:space="0"/>
              <w:bottom w:val="single" w:color="auto" w:sz="4" w:space="0"/>
              <w:right w:val="single" w:color="auto" w:sz="4" w:space="0"/>
            </w:tcBorders>
            <w:vAlign w:val="center"/>
          </w:tcPr>
          <w:p w14:paraId="54A89893">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GB50169-2016</w:t>
            </w:r>
          </w:p>
        </w:tc>
        <w:tc>
          <w:tcPr>
            <w:tcW w:w="6521" w:type="dxa"/>
            <w:tcBorders>
              <w:top w:val="single" w:color="auto" w:sz="4" w:space="0"/>
              <w:left w:val="single" w:color="auto" w:sz="4" w:space="0"/>
              <w:bottom w:val="single" w:color="auto" w:sz="4" w:space="0"/>
              <w:right w:val="single" w:color="auto" w:sz="4" w:space="0"/>
            </w:tcBorders>
            <w:vAlign w:val="center"/>
          </w:tcPr>
          <w:p w14:paraId="1E42C2EE">
            <w:pPr>
              <w:ind w:firstLine="0" w:firstLineChars="0"/>
              <w:rPr>
                <w:rFonts w:hint="eastAsia" w:ascii="仿宋" w:hAnsi="仿宋" w:eastAsia="仿宋" w:cs="仿宋"/>
                <w:sz w:val="21"/>
                <w:szCs w:val="21"/>
              </w:rPr>
            </w:pPr>
            <w:r>
              <w:rPr>
                <w:rFonts w:hint="eastAsia" w:ascii="仿宋" w:hAnsi="仿宋" w:eastAsia="仿宋" w:cs="仿宋"/>
                <w:sz w:val="21"/>
                <w:szCs w:val="21"/>
              </w:rPr>
              <w:t>电气装置安装工程接地装置施工及验收规范</w:t>
            </w:r>
          </w:p>
        </w:tc>
      </w:tr>
    </w:tbl>
    <w:p w14:paraId="60574948">
      <w:p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1.2需随设备提供的资料</w:t>
      </w:r>
    </w:p>
    <w:p w14:paraId="7EA477D5">
      <w:pPr>
        <w:ind w:firstLine="480"/>
        <w:rPr>
          <w:rFonts w:hint="eastAsia" w:ascii="仿宋" w:hAnsi="仿宋" w:eastAsia="仿宋" w:cs="仿宋"/>
          <w:sz w:val="24"/>
          <w:szCs w:val="24"/>
        </w:rPr>
      </w:pPr>
      <w:r>
        <w:rPr>
          <w:rFonts w:hint="eastAsia" w:ascii="仿宋" w:hAnsi="仿宋" w:eastAsia="仿宋" w:cs="仿宋"/>
          <w:sz w:val="24"/>
          <w:szCs w:val="24"/>
        </w:rPr>
        <w:t>投标方应免费随设备提供给采购方相关资料，包括设备及配套软件的安装手册、管理维护手册以及参数配置手册等以及配套软件的安装介质。</w:t>
      </w:r>
    </w:p>
    <w:p w14:paraId="078FF4FA">
      <w:p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1.3投标时必须提供的技术数据和信息</w:t>
      </w:r>
    </w:p>
    <w:p w14:paraId="4D1311DA">
      <w:pPr>
        <w:ind w:firstLine="480"/>
        <w:rPr>
          <w:rFonts w:hint="eastAsia" w:ascii="仿宋" w:hAnsi="仿宋" w:eastAsia="仿宋" w:cs="仿宋"/>
          <w:sz w:val="24"/>
          <w:szCs w:val="24"/>
        </w:rPr>
      </w:pPr>
      <w:r>
        <w:rPr>
          <w:rFonts w:hint="eastAsia" w:ascii="仿宋" w:hAnsi="仿宋" w:eastAsia="仿宋" w:cs="仿宋"/>
          <w:sz w:val="24"/>
          <w:szCs w:val="24"/>
        </w:rPr>
        <w:t>投标方应按本规范的技术参数特性表列举的项目逐项提供技术数据，所提供的技术数据应为保证数据，这些数据将作为合同的一部分。如与采购方在技术参数特性表中所要求的技术数据有差异，还应写入技术偏差表中。</w:t>
      </w:r>
    </w:p>
    <w:p w14:paraId="1FA1BBCD">
      <w:p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1.4到货验收及工期</w:t>
      </w:r>
    </w:p>
    <w:p w14:paraId="5549AA62">
      <w:pPr>
        <w:ind w:firstLine="480"/>
        <w:rPr>
          <w:rFonts w:hint="eastAsia" w:ascii="仿宋" w:hAnsi="仿宋" w:eastAsia="仿宋" w:cs="仿宋"/>
          <w:sz w:val="24"/>
          <w:szCs w:val="24"/>
        </w:rPr>
      </w:pPr>
      <w:r>
        <w:rPr>
          <w:rFonts w:hint="eastAsia" w:ascii="仿宋" w:hAnsi="仿宋" w:eastAsia="仿宋" w:cs="仿宋"/>
          <w:sz w:val="24"/>
          <w:szCs w:val="24"/>
        </w:rPr>
        <w:t>投标方负责将合同设备运送到采购方指定的安装、调试地点，由此产生的费用由投标方承担。</w:t>
      </w:r>
    </w:p>
    <w:p w14:paraId="50625E42">
      <w:pPr>
        <w:ind w:firstLine="480"/>
        <w:rPr>
          <w:rFonts w:hint="eastAsia" w:ascii="仿宋" w:hAnsi="仿宋" w:eastAsia="仿宋" w:cs="仿宋"/>
          <w:sz w:val="24"/>
          <w:szCs w:val="24"/>
        </w:rPr>
      </w:pPr>
      <w:r>
        <w:rPr>
          <w:rFonts w:hint="eastAsia" w:ascii="仿宋" w:hAnsi="仿宋" w:eastAsia="仿宋" w:cs="仿宋"/>
          <w:sz w:val="24"/>
          <w:szCs w:val="24"/>
        </w:rPr>
        <w:t>采购方依投标方在投标文件中的承诺对全部设备的型号、规格、数量、外形、外观、包装及资料、文件（包括装箱单、保修单、随箱介质等）等进行验收。</w:t>
      </w:r>
    </w:p>
    <w:p w14:paraId="123A088B">
      <w:pPr>
        <w:ind w:firstLine="480"/>
        <w:rPr>
          <w:rFonts w:hint="eastAsia" w:ascii="仿宋" w:hAnsi="仿宋" w:eastAsia="仿宋" w:cs="仿宋"/>
          <w:sz w:val="24"/>
          <w:szCs w:val="24"/>
        </w:rPr>
      </w:pPr>
      <w:r>
        <w:rPr>
          <w:rFonts w:hint="eastAsia" w:ascii="仿宋" w:hAnsi="仿宋" w:eastAsia="仿宋" w:cs="仿宋"/>
          <w:sz w:val="24"/>
          <w:szCs w:val="24"/>
        </w:rPr>
        <w:t>买卖双方对设备到货后共同配合进行开箱检查，出现损坏、数量不全或产品不对等问题时，由投标方负责解决。</w:t>
      </w:r>
    </w:p>
    <w:p w14:paraId="243A0BF5">
      <w:pPr>
        <w:ind w:firstLine="480"/>
        <w:rPr>
          <w:rFonts w:hint="eastAsia" w:ascii="仿宋" w:hAnsi="仿宋" w:eastAsia="仿宋" w:cs="仿宋"/>
          <w:sz w:val="24"/>
          <w:szCs w:val="24"/>
        </w:rPr>
      </w:pPr>
      <w:r>
        <w:rPr>
          <w:rFonts w:hint="eastAsia" w:ascii="仿宋" w:hAnsi="仿宋" w:eastAsia="仿宋" w:cs="仿宋"/>
          <w:sz w:val="24"/>
          <w:szCs w:val="24"/>
        </w:rPr>
        <w:t>在采购方指定的地点和环境下，投标方负责对合同设备进行调试（所有部件模块的功能能够正常运行和使用），加电实现正常运行，并达到投标方在投标文件中承诺的技术指标和性能。</w:t>
      </w:r>
    </w:p>
    <w:p w14:paraId="49D5BF10">
      <w:pPr>
        <w:ind w:firstLine="480"/>
        <w:rPr>
          <w:rFonts w:hint="eastAsia" w:ascii="仿宋" w:hAnsi="仿宋" w:eastAsia="仿宋" w:cs="仿宋"/>
          <w:sz w:val="24"/>
          <w:szCs w:val="24"/>
        </w:rPr>
      </w:pPr>
      <w:r>
        <w:rPr>
          <w:rFonts w:hint="eastAsia" w:ascii="仿宋" w:hAnsi="仿宋" w:eastAsia="仿宋" w:cs="仿宋"/>
          <w:sz w:val="24"/>
          <w:szCs w:val="24"/>
        </w:rPr>
        <w:t>设备到货验收及加电验收中出现性能指标或功能上不符合投标方在投标文件中的承诺、产品质量问题以及合同要求时，采购方有拒收的权利并取消合同并追究经济、法律赔偿。</w:t>
      </w:r>
    </w:p>
    <w:p w14:paraId="48460EC5">
      <w:pPr>
        <w:ind w:firstLine="0" w:firstLineChars="0"/>
        <w:rPr>
          <w:rFonts w:hint="eastAsia" w:ascii="仿宋" w:hAnsi="仿宋" w:eastAsia="仿宋" w:cs="仿宋"/>
          <w:sz w:val="24"/>
          <w:szCs w:val="24"/>
        </w:rPr>
      </w:pPr>
      <w:r>
        <w:rPr>
          <w:rFonts w:hint="eastAsia" w:ascii="仿宋" w:hAnsi="仿宋" w:eastAsia="仿宋" w:cs="仿宋"/>
          <w:sz w:val="24"/>
          <w:szCs w:val="24"/>
        </w:rPr>
        <w:t>2  分体式直流充电机技术要求</w:t>
      </w:r>
    </w:p>
    <w:p w14:paraId="44EB500D">
      <w:p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2.1技术参数</w:t>
      </w:r>
    </w:p>
    <w:p w14:paraId="78D12918">
      <w:pPr>
        <w:ind w:firstLine="480"/>
        <w:rPr>
          <w:rFonts w:hint="eastAsia" w:ascii="仿宋" w:hAnsi="仿宋" w:eastAsia="仿宋" w:cs="仿宋"/>
          <w:sz w:val="24"/>
          <w:szCs w:val="24"/>
        </w:rPr>
      </w:pPr>
      <w:r>
        <w:rPr>
          <w:rFonts w:hint="eastAsia" w:ascii="仿宋" w:hAnsi="仿宋" w:eastAsia="仿宋" w:cs="仿宋"/>
          <w:sz w:val="24"/>
          <w:szCs w:val="24"/>
        </w:rPr>
        <w:t>2.1.1环境条件</w:t>
      </w:r>
    </w:p>
    <w:p w14:paraId="773BD88A">
      <w:pPr>
        <w:ind w:firstLine="480"/>
        <w:rPr>
          <w:rFonts w:hint="eastAsia" w:ascii="仿宋" w:hAnsi="仿宋" w:eastAsia="仿宋" w:cs="仿宋"/>
          <w:sz w:val="24"/>
          <w:szCs w:val="24"/>
        </w:rPr>
      </w:pPr>
      <w:r>
        <w:rPr>
          <w:rFonts w:hint="eastAsia" w:ascii="仿宋" w:hAnsi="仿宋" w:eastAsia="仿宋" w:cs="仿宋"/>
          <w:sz w:val="24"/>
          <w:szCs w:val="24"/>
        </w:rPr>
        <w:t>环境温度：-</w:t>
      </w:r>
      <w:r>
        <w:rPr>
          <w:rFonts w:hint="eastAsia" w:ascii="仿宋" w:hAnsi="仿宋" w:eastAsia="仿宋" w:cs="仿宋"/>
          <w:sz w:val="24"/>
          <w:szCs w:val="24"/>
          <w:lang w:val="en-US" w:eastAsia="zh-CN"/>
        </w:rPr>
        <w:t>30</w:t>
      </w:r>
      <w:r>
        <w:rPr>
          <w:rFonts w:hint="eastAsia" w:ascii="仿宋" w:hAnsi="仿宋" w:eastAsia="仿宋" w:cs="仿宋"/>
          <w:sz w:val="24"/>
          <w:szCs w:val="24"/>
        </w:rPr>
        <w:t>℃～</w:t>
      </w:r>
      <w:r>
        <w:rPr>
          <w:rFonts w:hint="eastAsia" w:ascii="仿宋" w:hAnsi="仿宋" w:eastAsia="仿宋" w:cs="仿宋"/>
          <w:sz w:val="24"/>
          <w:szCs w:val="24"/>
          <w:lang w:val="en-US" w:eastAsia="zh-CN"/>
        </w:rPr>
        <w:t>+</w:t>
      </w:r>
      <w:r>
        <w:rPr>
          <w:rFonts w:hint="eastAsia" w:ascii="仿宋" w:hAnsi="仿宋" w:eastAsia="仿宋" w:cs="仿宋"/>
          <w:sz w:val="24"/>
          <w:szCs w:val="24"/>
        </w:rPr>
        <w:t>50℃；</w:t>
      </w:r>
    </w:p>
    <w:p w14:paraId="5BE712DE">
      <w:pPr>
        <w:ind w:firstLine="480"/>
        <w:rPr>
          <w:rFonts w:hint="eastAsia" w:ascii="仿宋" w:hAnsi="仿宋" w:eastAsia="仿宋" w:cs="仿宋"/>
          <w:sz w:val="24"/>
          <w:szCs w:val="24"/>
        </w:rPr>
      </w:pPr>
      <w:r>
        <w:rPr>
          <w:rFonts w:hint="eastAsia" w:ascii="仿宋" w:hAnsi="仿宋" w:eastAsia="仿宋" w:cs="仿宋"/>
          <w:sz w:val="24"/>
          <w:szCs w:val="24"/>
        </w:rPr>
        <w:t>相对湿度：5％～95％；</w:t>
      </w:r>
    </w:p>
    <w:p w14:paraId="277B3EFA">
      <w:pPr>
        <w:ind w:firstLine="480"/>
        <w:rPr>
          <w:rFonts w:hint="eastAsia" w:ascii="仿宋" w:hAnsi="仿宋" w:eastAsia="仿宋" w:cs="仿宋"/>
          <w:sz w:val="24"/>
          <w:szCs w:val="24"/>
        </w:rPr>
      </w:pPr>
      <w:r>
        <w:rPr>
          <w:rFonts w:hint="eastAsia" w:ascii="仿宋" w:hAnsi="仿宋" w:eastAsia="仿宋" w:cs="仿宋"/>
          <w:sz w:val="24"/>
          <w:szCs w:val="24"/>
        </w:rPr>
        <w:t>海拔高度：≤2000m；</w:t>
      </w:r>
    </w:p>
    <w:p w14:paraId="29E1D727">
      <w:pPr>
        <w:ind w:firstLine="480"/>
        <w:rPr>
          <w:rFonts w:hint="eastAsia" w:ascii="仿宋" w:hAnsi="仿宋" w:eastAsia="仿宋" w:cs="仿宋"/>
          <w:sz w:val="24"/>
          <w:szCs w:val="24"/>
        </w:rPr>
      </w:pPr>
      <w:r>
        <w:rPr>
          <w:rFonts w:hint="eastAsia" w:ascii="仿宋" w:hAnsi="仿宋" w:eastAsia="仿宋" w:cs="仿宋"/>
          <w:sz w:val="24"/>
          <w:szCs w:val="24"/>
        </w:rPr>
        <w:t>大气压强：80kPa～110kPa；</w:t>
      </w:r>
    </w:p>
    <w:p w14:paraId="7B142C1C">
      <w:pPr>
        <w:ind w:left="0" w:leftChars="0" w:firstLine="480" w:firstLineChars="200"/>
        <w:rPr>
          <w:rFonts w:hint="eastAsia" w:ascii="仿宋" w:hAnsi="仿宋" w:eastAsia="仿宋" w:cs="仿宋"/>
          <w:sz w:val="24"/>
          <w:szCs w:val="24"/>
        </w:rPr>
      </w:pPr>
      <w:r>
        <w:rPr>
          <w:rFonts w:hint="eastAsia" w:ascii="仿宋" w:hAnsi="仿宋" w:eastAsia="仿宋" w:cs="仿宋"/>
          <w:sz w:val="24"/>
          <w:szCs w:val="24"/>
        </w:rPr>
        <w:t>2.1.2电源条件</w:t>
      </w:r>
    </w:p>
    <w:p w14:paraId="238827D1">
      <w:pPr>
        <w:ind w:firstLine="480"/>
        <w:rPr>
          <w:rFonts w:hint="eastAsia" w:ascii="仿宋" w:hAnsi="仿宋" w:eastAsia="仿宋" w:cs="仿宋"/>
          <w:sz w:val="24"/>
          <w:szCs w:val="24"/>
        </w:rPr>
      </w:pPr>
      <w:r>
        <w:rPr>
          <w:rFonts w:hint="eastAsia" w:ascii="仿宋" w:hAnsi="仿宋" w:eastAsia="仿宋" w:cs="仿宋"/>
          <w:sz w:val="24"/>
          <w:szCs w:val="24"/>
        </w:rPr>
        <w:t>交流输入电压：380V±15％；</w:t>
      </w:r>
    </w:p>
    <w:p w14:paraId="689D2FF0">
      <w:pPr>
        <w:ind w:firstLine="480"/>
        <w:rPr>
          <w:rFonts w:hint="eastAsia" w:ascii="仿宋" w:hAnsi="仿宋" w:eastAsia="仿宋" w:cs="仿宋"/>
          <w:sz w:val="24"/>
          <w:szCs w:val="24"/>
        </w:rPr>
      </w:pPr>
      <w:r>
        <w:rPr>
          <w:rFonts w:hint="eastAsia" w:ascii="仿宋" w:hAnsi="仿宋" w:eastAsia="仿宋" w:cs="仿宋"/>
          <w:sz w:val="24"/>
          <w:szCs w:val="24"/>
        </w:rPr>
        <w:t>交流电源频率：50Hz±1Hz。</w:t>
      </w:r>
    </w:p>
    <w:p w14:paraId="0CB0D561">
      <w:pPr>
        <w:ind w:left="0" w:leftChars="0" w:firstLine="480" w:firstLineChars="200"/>
        <w:rPr>
          <w:rFonts w:hint="eastAsia" w:ascii="仿宋" w:hAnsi="仿宋" w:eastAsia="仿宋" w:cs="仿宋"/>
          <w:sz w:val="24"/>
          <w:szCs w:val="24"/>
        </w:rPr>
      </w:pPr>
      <w:r>
        <w:rPr>
          <w:rFonts w:hint="eastAsia" w:ascii="仿宋" w:hAnsi="仿宋" w:eastAsia="仿宋" w:cs="仿宋"/>
          <w:sz w:val="24"/>
          <w:szCs w:val="24"/>
        </w:rPr>
        <w:t>2.1.3输出电压</w:t>
      </w:r>
    </w:p>
    <w:p w14:paraId="3DCD1D22">
      <w:pPr>
        <w:ind w:firstLine="480"/>
        <w:rPr>
          <w:rFonts w:hint="eastAsia" w:ascii="仿宋" w:hAnsi="仿宋" w:eastAsia="仿宋" w:cs="仿宋"/>
          <w:sz w:val="24"/>
          <w:szCs w:val="24"/>
        </w:rPr>
      </w:pPr>
      <w:r>
        <w:rPr>
          <w:rFonts w:hint="eastAsia" w:ascii="仿宋" w:hAnsi="仿宋" w:eastAsia="仿宋" w:cs="仿宋"/>
          <w:sz w:val="24"/>
          <w:szCs w:val="24"/>
        </w:rPr>
        <w:t>直流输出电压：200～1000V，连续可调；</w:t>
      </w:r>
    </w:p>
    <w:p w14:paraId="0E02F47C">
      <w:pPr>
        <w:ind w:firstLine="480"/>
        <w:rPr>
          <w:rFonts w:hint="eastAsia" w:ascii="仿宋" w:hAnsi="仿宋" w:eastAsia="仿宋" w:cs="仿宋"/>
          <w:sz w:val="24"/>
          <w:szCs w:val="24"/>
        </w:rPr>
      </w:pPr>
      <w:r>
        <w:rPr>
          <w:rFonts w:hint="eastAsia" w:ascii="仿宋" w:hAnsi="仿宋" w:eastAsia="仿宋" w:cs="仿宋"/>
          <w:sz w:val="24"/>
          <w:szCs w:val="24"/>
        </w:rPr>
        <w:t>恒功率输出范围：300～1000V;</w:t>
      </w:r>
    </w:p>
    <w:p w14:paraId="1820665D">
      <w:pPr>
        <w:ind w:firstLine="480"/>
        <w:rPr>
          <w:rFonts w:hint="eastAsia" w:ascii="仿宋" w:hAnsi="仿宋" w:eastAsia="仿宋" w:cs="仿宋"/>
          <w:sz w:val="24"/>
          <w:szCs w:val="24"/>
        </w:rPr>
      </w:pPr>
      <w:r>
        <w:rPr>
          <w:rFonts w:hint="eastAsia" w:ascii="仿宋" w:hAnsi="仿宋" w:eastAsia="仿宋" w:cs="仿宋"/>
          <w:sz w:val="24"/>
          <w:szCs w:val="24"/>
        </w:rPr>
        <w:t>2.1.4低压辅助电源</w:t>
      </w:r>
    </w:p>
    <w:p w14:paraId="0B6ED9AD">
      <w:pPr>
        <w:ind w:firstLine="480"/>
        <w:rPr>
          <w:rFonts w:hint="eastAsia" w:ascii="仿宋" w:hAnsi="仿宋" w:eastAsia="仿宋" w:cs="仿宋"/>
          <w:sz w:val="24"/>
          <w:szCs w:val="24"/>
        </w:rPr>
      </w:pPr>
      <w:r>
        <w:rPr>
          <w:rFonts w:hint="eastAsia" w:ascii="仿宋" w:hAnsi="仿宋" w:eastAsia="仿宋" w:cs="仿宋"/>
          <w:sz w:val="24"/>
          <w:szCs w:val="24"/>
        </w:rPr>
        <w:t>充电机应能为电动汽车提供低压辅助电源，且具备过负荷、过压、过温保护功能。</w:t>
      </w:r>
    </w:p>
    <w:p w14:paraId="21EE964D">
      <w:pPr>
        <w:ind w:firstLine="480"/>
        <w:rPr>
          <w:rFonts w:hint="eastAsia" w:ascii="仿宋" w:hAnsi="仿宋" w:eastAsia="仿宋" w:cs="仿宋"/>
          <w:sz w:val="24"/>
          <w:szCs w:val="24"/>
        </w:rPr>
      </w:pPr>
      <w:r>
        <w:rPr>
          <w:rFonts w:hint="eastAsia" w:ascii="仿宋" w:hAnsi="仿宋" w:eastAsia="仿宋" w:cs="仿宋"/>
          <w:sz w:val="24"/>
          <w:szCs w:val="24"/>
        </w:rPr>
        <w:t xml:space="preserve">辅助电源电压：12V、24V，可通过触摸屏进行选择设置。 </w:t>
      </w:r>
    </w:p>
    <w:p w14:paraId="568CE23F">
      <w:pPr>
        <w:ind w:firstLine="480"/>
        <w:rPr>
          <w:rFonts w:hint="eastAsia" w:ascii="仿宋" w:hAnsi="仿宋" w:eastAsia="仿宋" w:cs="仿宋"/>
          <w:sz w:val="24"/>
          <w:szCs w:val="24"/>
        </w:rPr>
      </w:pPr>
      <w:r>
        <w:rPr>
          <w:rFonts w:hint="eastAsia" w:ascii="仿宋" w:hAnsi="仿宋" w:eastAsia="仿宋" w:cs="仿宋"/>
          <w:sz w:val="24"/>
          <w:szCs w:val="24"/>
        </w:rPr>
        <w:t>充电机辅助电源满足GB/T18487.1-2015和Q/GDW1594-2014中的要求；</w:t>
      </w:r>
    </w:p>
    <w:p w14:paraId="3F5E5FE2">
      <w:pPr>
        <w:ind w:firstLine="480"/>
        <w:rPr>
          <w:rFonts w:hint="eastAsia" w:ascii="仿宋" w:hAnsi="仿宋" w:eastAsia="仿宋" w:cs="仿宋"/>
          <w:sz w:val="24"/>
          <w:szCs w:val="24"/>
        </w:rPr>
      </w:pPr>
      <w:r>
        <w:rPr>
          <w:rFonts w:hint="eastAsia" w:ascii="仿宋" w:hAnsi="仿宋" w:eastAsia="仿宋" w:cs="仿宋"/>
          <w:sz w:val="24"/>
          <w:szCs w:val="24"/>
        </w:rPr>
        <w:t>纹波峰值系数：不超过±1%。</w:t>
      </w:r>
    </w:p>
    <w:p w14:paraId="0B9BF4B4">
      <w:pPr>
        <w:ind w:firstLine="480"/>
        <w:rPr>
          <w:rFonts w:hint="eastAsia" w:ascii="仿宋" w:hAnsi="仿宋" w:eastAsia="仿宋" w:cs="仿宋"/>
          <w:sz w:val="24"/>
          <w:szCs w:val="24"/>
        </w:rPr>
      </w:pPr>
      <w:r>
        <w:rPr>
          <w:rFonts w:hint="eastAsia" w:ascii="仿宋" w:hAnsi="仿宋" w:eastAsia="仿宋" w:cs="仿宋"/>
          <w:sz w:val="24"/>
          <w:szCs w:val="24"/>
        </w:rPr>
        <w:t>2.1.5基本构成</w:t>
      </w:r>
    </w:p>
    <w:p w14:paraId="46EEBA69">
      <w:pPr>
        <w:ind w:firstLine="480"/>
        <w:rPr>
          <w:rFonts w:hint="eastAsia" w:ascii="仿宋" w:hAnsi="仿宋" w:eastAsia="仿宋" w:cs="仿宋"/>
          <w:sz w:val="24"/>
          <w:szCs w:val="24"/>
        </w:rPr>
      </w:pPr>
      <w:r>
        <w:rPr>
          <w:rFonts w:hint="eastAsia" w:ascii="仿宋" w:hAnsi="仿宋" w:eastAsia="仿宋" w:cs="仿宋"/>
          <w:sz w:val="24"/>
          <w:szCs w:val="24"/>
        </w:rPr>
        <w:t>分体式直流充电机基本构成包括：动力电源输入单元、功率变换单元、充电控制单元、输出开关单元、计量单元、充电接口、人机交互等。</w:t>
      </w:r>
    </w:p>
    <w:p w14:paraId="466C5547">
      <w:pPr>
        <w:ind w:firstLine="480"/>
        <w:rPr>
          <w:rFonts w:hint="eastAsia" w:ascii="仿宋" w:hAnsi="仿宋" w:eastAsia="仿宋" w:cs="仿宋"/>
          <w:color w:val="auto"/>
          <w:sz w:val="24"/>
          <w:szCs w:val="24"/>
        </w:rPr>
      </w:pPr>
      <w:r>
        <w:rPr>
          <w:rFonts w:hint="eastAsia" w:ascii="仿宋" w:hAnsi="仿宋" w:eastAsia="仿宋" w:cs="仿宋"/>
          <w:color w:val="auto"/>
          <w:sz w:val="24"/>
          <w:szCs w:val="24"/>
          <w:highlight w:val="none"/>
        </w:rPr>
        <w:t>分体式直流充电机由</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台</w:t>
      </w:r>
      <w:r>
        <w:rPr>
          <w:rFonts w:hint="eastAsia" w:ascii="仿宋" w:hAnsi="仿宋" w:eastAsia="仿宋" w:cs="仿宋"/>
          <w:color w:val="auto"/>
          <w:sz w:val="24"/>
          <w:szCs w:val="24"/>
          <w:highlight w:val="none"/>
          <w:lang w:val="en-US" w:eastAsia="zh-CN"/>
        </w:rPr>
        <w:t>风冷整流柜和5台双枪快</w:t>
      </w:r>
      <w:r>
        <w:rPr>
          <w:rFonts w:hint="eastAsia" w:ascii="仿宋" w:hAnsi="仿宋" w:eastAsia="仿宋" w:cs="仿宋"/>
          <w:color w:val="auto"/>
          <w:sz w:val="24"/>
          <w:szCs w:val="24"/>
          <w:lang w:val="en-US" w:eastAsia="zh-CN"/>
        </w:rPr>
        <w:t>充终端</w:t>
      </w:r>
      <w:r>
        <w:rPr>
          <w:rFonts w:hint="eastAsia" w:ascii="仿宋" w:hAnsi="仿宋" w:eastAsia="仿宋" w:cs="仿宋"/>
          <w:color w:val="auto"/>
          <w:sz w:val="24"/>
          <w:szCs w:val="24"/>
        </w:rPr>
        <w:t>组成，多台充电终端可同时输出电流</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整流柜</w:t>
      </w:r>
      <w:r>
        <w:rPr>
          <w:rFonts w:hint="eastAsia" w:ascii="仿宋" w:hAnsi="仿宋" w:eastAsia="仿宋" w:cs="仿宋"/>
          <w:color w:val="auto"/>
          <w:sz w:val="24"/>
          <w:szCs w:val="24"/>
        </w:rPr>
        <w:t>和</w:t>
      </w:r>
      <w:r>
        <w:rPr>
          <w:rFonts w:hint="eastAsia" w:ascii="仿宋" w:hAnsi="仿宋" w:eastAsia="仿宋" w:cs="仿宋"/>
          <w:color w:val="auto"/>
          <w:sz w:val="24"/>
          <w:szCs w:val="24"/>
          <w:lang w:val="en-US" w:eastAsia="zh-CN"/>
        </w:rPr>
        <w:t>充电</w:t>
      </w:r>
      <w:r>
        <w:rPr>
          <w:rFonts w:hint="eastAsia" w:ascii="仿宋" w:hAnsi="仿宋" w:eastAsia="仿宋" w:cs="仿宋"/>
          <w:color w:val="auto"/>
          <w:sz w:val="24"/>
          <w:szCs w:val="24"/>
        </w:rPr>
        <w:t>终端之间通过线缆连接组成一套完整的充电系统。</w:t>
      </w:r>
    </w:p>
    <w:p w14:paraId="7B715C2A">
      <w:pPr>
        <w:ind w:firstLine="480"/>
        <w:rPr>
          <w:rFonts w:hint="eastAsia" w:ascii="仿宋" w:hAnsi="仿宋" w:eastAsia="仿宋" w:cs="仿宋"/>
          <w:color w:val="auto"/>
          <w:sz w:val="24"/>
          <w:szCs w:val="24"/>
        </w:rPr>
      </w:pPr>
      <w:r>
        <w:rPr>
          <w:rFonts w:hint="eastAsia" w:ascii="仿宋" w:hAnsi="仿宋" w:eastAsia="仿宋" w:cs="仿宋"/>
          <w:color w:val="auto"/>
          <w:sz w:val="24"/>
          <w:szCs w:val="24"/>
        </w:rPr>
        <w:t>充电终端挂有充电连接装置，</w:t>
      </w:r>
      <w:r>
        <w:rPr>
          <w:rFonts w:hint="eastAsia" w:ascii="仿宋" w:hAnsi="仿宋" w:eastAsia="仿宋" w:cs="仿宋"/>
          <w:color w:val="auto"/>
          <w:sz w:val="24"/>
          <w:szCs w:val="24"/>
          <w:lang w:val="en-US" w:eastAsia="zh-CN"/>
        </w:rPr>
        <w:t>快充终端</w:t>
      </w:r>
      <w:r>
        <w:rPr>
          <w:rFonts w:hint="eastAsia" w:ascii="仿宋" w:hAnsi="仿宋" w:eastAsia="仿宋" w:cs="仿宋"/>
          <w:color w:val="auto"/>
          <w:sz w:val="24"/>
          <w:szCs w:val="24"/>
        </w:rPr>
        <w:t>枪线长度</w:t>
      </w:r>
      <w:r>
        <w:rPr>
          <w:rFonts w:hint="eastAsia" w:ascii="仿宋" w:hAnsi="仿宋" w:eastAsia="仿宋" w:cs="仿宋"/>
          <w:color w:val="auto"/>
          <w:sz w:val="24"/>
          <w:szCs w:val="24"/>
          <w:lang w:val="en-US" w:eastAsia="zh-CN"/>
        </w:rPr>
        <w:t>4.5米（桩体外）</w:t>
      </w:r>
      <w:r>
        <w:rPr>
          <w:rFonts w:hint="eastAsia" w:ascii="仿宋" w:hAnsi="仿宋" w:eastAsia="仿宋" w:cs="仿宋"/>
          <w:color w:val="auto"/>
          <w:sz w:val="24"/>
          <w:szCs w:val="24"/>
        </w:rPr>
        <w:t>，额定载流量</w:t>
      </w:r>
      <w:r>
        <w:rPr>
          <w:rFonts w:hint="eastAsia" w:ascii="仿宋" w:hAnsi="仿宋" w:eastAsia="仿宋" w:cs="仿宋"/>
          <w:color w:val="auto"/>
          <w:sz w:val="24"/>
          <w:szCs w:val="24"/>
          <w:lang w:val="en-US" w:eastAsia="zh-CN"/>
        </w:rPr>
        <w:t>250</w:t>
      </w:r>
      <w:r>
        <w:rPr>
          <w:rFonts w:hint="eastAsia" w:ascii="仿宋" w:hAnsi="仿宋" w:eastAsia="仿宋" w:cs="仿宋"/>
          <w:color w:val="auto"/>
          <w:sz w:val="24"/>
          <w:szCs w:val="24"/>
        </w:rPr>
        <w:t>A。</w:t>
      </w:r>
    </w:p>
    <w:p w14:paraId="21E7D798">
      <w:p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2.2功能要求</w:t>
      </w:r>
    </w:p>
    <w:p w14:paraId="6AA668C8">
      <w:pPr>
        <w:ind w:firstLine="480"/>
        <w:rPr>
          <w:rFonts w:hint="eastAsia" w:ascii="仿宋" w:hAnsi="仿宋" w:eastAsia="仿宋" w:cs="仿宋"/>
          <w:sz w:val="24"/>
          <w:szCs w:val="24"/>
        </w:rPr>
      </w:pPr>
      <w:r>
        <w:rPr>
          <w:rFonts w:hint="eastAsia" w:ascii="仿宋" w:hAnsi="仿宋" w:eastAsia="仿宋" w:cs="仿宋"/>
          <w:sz w:val="24"/>
          <w:szCs w:val="24"/>
        </w:rPr>
        <w:t>2.2.1充电设定方式</w:t>
      </w:r>
    </w:p>
    <w:p w14:paraId="7ECFE653">
      <w:pPr>
        <w:ind w:firstLine="480"/>
        <w:rPr>
          <w:rFonts w:hint="eastAsia" w:ascii="仿宋" w:hAnsi="仿宋" w:eastAsia="仿宋" w:cs="仿宋"/>
          <w:sz w:val="24"/>
          <w:szCs w:val="24"/>
        </w:rPr>
      </w:pPr>
      <w:r>
        <w:rPr>
          <w:rFonts w:hint="eastAsia" w:ascii="仿宋" w:hAnsi="仿宋" w:eastAsia="仿宋" w:cs="仿宋"/>
          <w:sz w:val="24"/>
          <w:szCs w:val="24"/>
        </w:rPr>
        <w:t>在充电过程中，充电机依据电动汽车电池管理系统提供的数据动态调整充电参数，执行相应动作，完成充电过程。</w:t>
      </w:r>
    </w:p>
    <w:p w14:paraId="3CC641AF">
      <w:pPr>
        <w:ind w:firstLine="480"/>
        <w:rPr>
          <w:rFonts w:hint="eastAsia" w:ascii="仿宋" w:hAnsi="仿宋" w:eastAsia="仿宋" w:cs="仿宋"/>
          <w:sz w:val="24"/>
          <w:szCs w:val="24"/>
        </w:rPr>
      </w:pPr>
      <w:r>
        <w:rPr>
          <w:rFonts w:hint="eastAsia" w:ascii="仿宋" w:hAnsi="仿宋" w:eastAsia="仿宋" w:cs="仿宋"/>
          <w:sz w:val="24"/>
          <w:szCs w:val="24"/>
        </w:rPr>
        <w:t>2.2.2充电模式和连接方式</w:t>
      </w:r>
    </w:p>
    <w:p w14:paraId="44F6633C">
      <w:pPr>
        <w:ind w:firstLine="480"/>
        <w:rPr>
          <w:rFonts w:hint="eastAsia" w:ascii="仿宋" w:hAnsi="仿宋" w:eastAsia="仿宋" w:cs="仿宋"/>
          <w:sz w:val="24"/>
          <w:szCs w:val="24"/>
        </w:rPr>
      </w:pPr>
      <w:r>
        <w:rPr>
          <w:rFonts w:hint="eastAsia" w:ascii="仿宋" w:hAnsi="仿宋" w:eastAsia="仿宋" w:cs="仿宋"/>
          <w:sz w:val="24"/>
          <w:szCs w:val="24"/>
        </w:rPr>
        <w:t>充电机采用GB/T18487.1-2015附录B中规定的充电模式4和连接方式C对电动汽车进行充电。充电接口应满足GB/T20234.1-2015和GB/T20234.3-2015的规定。</w:t>
      </w:r>
    </w:p>
    <w:p w14:paraId="05A12170">
      <w:pPr>
        <w:ind w:firstLine="480"/>
        <w:rPr>
          <w:rFonts w:hint="eastAsia" w:ascii="仿宋" w:hAnsi="仿宋" w:eastAsia="仿宋" w:cs="仿宋"/>
          <w:sz w:val="24"/>
          <w:szCs w:val="24"/>
        </w:rPr>
      </w:pPr>
      <w:r>
        <w:rPr>
          <w:rFonts w:hint="eastAsia" w:ascii="仿宋" w:hAnsi="仿宋" w:eastAsia="仿宋" w:cs="仿宋"/>
          <w:sz w:val="24"/>
          <w:szCs w:val="24"/>
        </w:rPr>
        <w:t>2.2.3控制导引和充电控制</w:t>
      </w:r>
    </w:p>
    <w:p w14:paraId="5BA25FDD">
      <w:pPr>
        <w:ind w:firstLine="480"/>
        <w:rPr>
          <w:rFonts w:hint="eastAsia" w:ascii="仿宋" w:hAnsi="仿宋" w:eastAsia="仿宋" w:cs="仿宋"/>
          <w:sz w:val="24"/>
          <w:szCs w:val="24"/>
        </w:rPr>
      </w:pPr>
      <w:r>
        <w:rPr>
          <w:rFonts w:hint="eastAsia" w:ascii="仿宋" w:hAnsi="仿宋" w:eastAsia="仿宋" w:cs="仿宋"/>
          <w:sz w:val="24"/>
          <w:szCs w:val="24"/>
        </w:rPr>
        <w:t>充电机应具备控制导引功能。控制导引电路及控制原理应满足GB/T18487.1-2015附录B中的规定。</w:t>
      </w:r>
    </w:p>
    <w:p w14:paraId="1CBD2CE4">
      <w:pPr>
        <w:ind w:firstLine="480"/>
        <w:rPr>
          <w:rFonts w:hint="eastAsia" w:ascii="仿宋" w:hAnsi="仿宋" w:eastAsia="仿宋" w:cs="仿宋"/>
          <w:sz w:val="24"/>
          <w:szCs w:val="24"/>
        </w:rPr>
      </w:pPr>
      <w:r>
        <w:rPr>
          <w:rFonts w:hint="eastAsia" w:ascii="仿宋" w:hAnsi="仿宋" w:eastAsia="仿宋" w:cs="仿宋"/>
          <w:sz w:val="24"/>
          <w:szCs w:val="24"/>
        </w:rPr>
        <w:t>2.2.4与电池管理系统通信功能</w:t>
      </w:r>
    </w:p>
    <w:p w14:paraId="7A872815">
      <w:pPr>
        <w:ind w:firstLine="480"/>
        <w:rPr>
          <w:rFonts w:hint="eastAsia" w:ascii="仿宋" w:hAnsi="仿宋" w:eastAsia="仿宋" w:cs="仿宋"/>
          <w:sz w:val="24"/>
          <w:szCs w:val="24"/>
        </w:rPr>
      </w:pPr>
      <w:r>
        <w:rPr>
          <w:rFonts w:hint="eastAsia" w:ascii="仿宋" w:hAnsi="仿宋" w:eastAsia="仿宋" w:cs="仿宋"/>
          <w:sz w:val="24"/>
          <w:szCs w:val="24"/>
        </w:rPr>
        <w:t>充电机应具有与电池管理系统通信的CAN接口，获得电池管理系统的充电参数和充电实时数据。通信协议应能满足GB/T27930-2015的规定。</w:t>
      </w:r>
    </w:p>
    <w:p w14:paraId="01FE340D">
      <w:pPr>
        <w:ind w:firstLine="480"/>
        <w:rPr>
          <w:rFonts w:hint="eastAsia" w:ascii="仿宋" w:hAnsi="仿宋" w:eastAsia="仿宋" w:cs="仿宋"/>
          <w:sz w:val="24"/>
          <w:szCs w:val="24"/>
        </w:rPr>
      </w:pPr>
      <w:r>
        <w:rPr>
          <w:rFonts w:hint="eastAsia" w:ascii="仿宋" w:hAnsi="仿宋" w:eastAsia="仿宋" w:cs="仿宋"/>
          <w:sz w:val="24"/>
          <w:szCs w:val="24"/>
        </w:rPr>
        <w:t>2.2.5功率自动分配功能</w:t>
      </w:r>
    </w:p>
    <w:p w14:paraId="7D1E69A8">
      <w:pPr>
        <w:ind w:firstLine="480"/>
        <w:rPr>
          <w:rFonts w:hint="eastAsia" w:ascii="仿宋" w:hAnsi="仿宋" w:eastAsia="仿宋" w:cs="仿宋"/>
          <w:sz w:val="24"/>
          <w:szCs w:val="24"/>
        </w:rPr>
      </w:pPr>
      <w:r>
        <w:rPr>
          <w:rFonts w:hint="eastAsia" w:ascii="仿宋" w:hAnsi="仿宋" w:eastAsia="仿宋" w:cs="仿宋"/>
          <w:sz w:val="24"/>
          <w:szCs w:val="24"/>
        </w:rPr>
        <w:t>充电机应具备动态功率分配功能。在充电过程中，充电机根据用户充电请求、电池充电需求、当前功率变换单元负荷状态、上级监控管理系统调控指令。</w:t>
      </w:r>
    </w:p>
    <w:p w14:paraId="221BA2B4">
      <w:pPr>
        <w:ind w:firstLine="480"/>
        <w:rPr>
          <w:rFonts w:hint="eastAsia" w:ascii="仿宋" w:hAnsi="仿宋" w:eastAsia="仿宋" w:cs="仿宋"/>
          <w:sz w:val="24"/>
          <w:szCs w:val="24"/>
        </w:rPr>
      </w:pPr>
      <w:r>
        <w:rPr>
          <w:rFonts w:hint="eastAsia" w:ascii="仿宋" w:hAnsi="仿宋" w:eastAsia="仿宋" w:cs="仿宋"/>
          <w:sz w:val="24"/>
          <w:szCs w:val="24"/>
        </w:rPr>
        <w:t>2.2.6功率投切拓扑要求</w:t>
      </w:r>
    </w:p>
    <w:p w14:paraId="45D53FEA">
      <w:pPr>
        <w:ind w:firstLine="480"/>
        <w:rPr>
          <w:rFonts w:hint="eastAsia" w:ascii="仿宋" w:hAnsi="仿宋" w:eastAsia="仿宋" w:cs="仿宋"/>
          <w:sz w:val="24"/>
          <w:szCs w:val="24"/>
        </w:rPr>
      </w:pPr>
      <w:r>
        <w:rPr>
          <w:rFonts w:hint="eastAsia" w:ascii="仿宋" w:hAnsi="仿宋" w:eastAsia="仿宋" w:cs="仿宋"/>
          <w:sz w:val="24"/>
          <w:szCs w:val="24"/>
        </w:rPr>
        <w:t>充电机应采用矩阵式或环状拓扑功率控制设计，实现功率控制输出。</w:t>
      </w:r>
    </w:p>
    <w:p w14:paraId="2410A6EE">
      <w:pPr>
        <w:ind w:firstLine="480"/>
        <w:rPr>
          <w:rFonts w:hint="eastAsia" w:ascii="仿宋" w:hAnsi="仿宋" w:eastAsia="仿宋" w:cs="仿宋"/>
          <w:sz w:val="24"/>
          <w:szCs w:val="24"/>
        </w:rPr>
      </w:pPr>
      <w:r>
        <w:rPr>
          <w:rFonts w:hint="eastAsia" w:ascii="仿宋" w:hAnsi="仿宋" w:eastAsia="仿宋" w:cs="仿宋"/>
          <w:sz w:val="24"/>
          <w:szCs w:val="24"/>
        </w:rPr>
        <w:t>2.2.7急停功能</w:t>
      </w:r>
    </w:p>
    <w:p w14:paraId="23BFE4AD">
      <w:pPr>
        <w:ind w:firstLine="480"/>
        <w:rPr>
          <w:rFonts w:hint="eastAsia" w:ascii="仿宋" w:hAnsi="仿宋" w:eastAsia="仿宋" w:cs="仿宋"/>
          <w:sz w:val="24"/>
          <w:szCs w:val="24"/>
        </w:rPr>
      </w:pPr>
      <w:r>
        <w:rPr>
          <w:rFonts w:hint="eastAsia" w:ascii="仿宋" w:hAnsi="仿宋" w:eastAsia="仿宋" w:cs="仿宋"/>
          <w:sz w:val="24"/>
          <w:szCs w:val="24"/>
        </w:rPr>
        <w:t>充电机应具备急停功能，在充电终端上设置急停装置，任意充电终端启动急停装置时，则立即切断该充电终端的直流输出，同时不影响其他充电终端的正常运行。</w:t>
      </w:r>
    </w:p>
    <w:p w14:paraId="085A3542">
      <w:pPr>
        <w:ind w:firstLine="480"/>
        <w:rPr>
          <w:rFonts w:hint="eastAsia" w:ascii="仿宋" w:hAnsi="仿宋" w:eastAsia="仿宋" w:cs="仿宋"/>
          <w:sz w:val="24"/>
          <w:szCs w:val="24"/>
        </w:rPr>
      </w:pPr>
      <w:r>
        <w:rPr>
          <w:rFonts w:hint="eastAsia" w:ascii="仿宋" w:hAnsi="仿宋" w:eastAsia="仿宋" w:cs="仿宋"/>
          <w:sz w:val="24"/>
          <w:szCs w:val="24"/>
        </w:rPr>
        <w:t>2.2.8计量功能</w:t>
      </w:r>
    </w:p>
    <w:p w14:paraId="08519E6C">
      <w:pPr>
        <w:ind w:firstLine="480"/>
        <w:rPr>
          <w:rFonts w:hint="eastAsia" w:ascii="仿宋" w:hAnsi="仿宋" w:eastAsia="仿宋" w:cs="仿宋"/>
          <w:sz w:val="24"/>
          <w:szCs w:val="24"/>
        </w:rPr>
      </w:pPr>
      <w:r>
        <w:rPr>
          <w:rFonts w:hint="eastAsia" w:ascii="仿宋" w:hAnsi="仿宋" w:eastAsia="仿宋" w:cs="仿宋"/>
          <w:sz w:val="24"/>
          <w:szCs w:val="24"/>
        </w:rPr>
        <w:t>充电机采用直流侧计量，计量表计需安装在充电终端，具备对每个充电接口输出电能进行计量的功能，符合国家计量器具检定相关要求，</w:t>
      </w:r>
      <w:r>
        <w:rPr>
          <w:rFonts w:hint="eastAsia" w:ascii="仿宋" w:hAnsi="仿宋" w:eastAsia="仿宋" w:cs="仿宋"/>
          <w:sz w:val="24"/>
          <w:szCs w:val="24"/>
          <w:lang w:val="en-US" w:eastAsia="zh-CN"/>
        </w:rPr>
        <w:t>计量表计</w:t>
      </w:r>
      <w:r>
        <w:rPr>
          <w:rFonts w:hint="eastAsia" w:ascii="仿宋" w:hAnsi="仿宋" w:eastAsia="仿宋" w:cs="仿宋"/>
          <w:sz w:val="24"/>
          <w:szCs w:val="24"/>
        </w:rPr>
        <w:t>精度1.0</w:t>
      </w:r>
      <w:r>
        <w:rPr>
          <w:rFonts w:hint="eastAsia" w:ascii="仿宋" w:hAnsi="仿宋" w:eastAsia="仿宋" w:cs="仿宋"/>
          <w:sz w:val="24"/>
          <w:szCs w:val="24"/>
          <w:lang w:val="en-US" w:eastAsia="zh-CN"/>
        </w:rPr>
        <w:t>级</w:t>
      </w:r>
      <w:r>
        <w:rPr>
          <w:rFonts w:hint="eastAsia" w:ascii="仿宋" w:hAnsi="仿宋" w:eastAsia="仿宋" w:cs="仿宋"/>
          <w:sz w:val="24"/>
          <w:szCs w:val="24"/>
        </w:rPr>
        <w:t>。</w:t>
      </w:r>
    </w:p>
    <w:p w14:paraId="4D122B2A">
      <w:pPr>
        <w:ind w:firstLine="480"/>
        <w:rPr>
          <w:rFonts w:hint="eastAsia" w:ascii="仿宋" w:hAnsi="仿宋" w:eastAsia="仿宋" w:cs="仿宋"/>
          <w:sz w:val="24"/>
          <w:szCs w:val="24"/>
        </w:rPr>
      </w:pPr>
      <w:r>
        <w:rPr>
          <w:rFonts w:hint="eastAsia" w:ascii="仿宋" w:hAnsi="仿宋" w:eastAsia="仿宋" w:cs="仿宋"/>
          <w:sz w:val="24"/>
          <w:szCs w:val="24"/>
        </w:rPr>
        <w:t>2.2.9集中管控功能</w:t>
      </w:r>
    </w:p>
    <w:p w14:paraId="34F9C2B0">
      <w:pPr>
        <w:ind w:firstLine="480"/>
        <w:rPr>
          <w:rFonts w:hint="eastAsia" w:ascii="仿宋" w:hAnsi="仿宋" w:eastAsia="仿宋" w:cs="仿宋"/>
          <w:sz w:val="24"/>
          <w:szCs w:val="24"/>
        </w:rPr>
      </w:pPr>
      <w:r>
        <w:rPr>
          <w:rFonts w:hint="eastAsia" w:ascii="仿宋" w:hAnsi="仿宋" w:eastAsia="仿宋" w:cs="仿宋"/>
          <w:sz w:val="24"/>
          <w:szCs w:val="24"/>
        </w:rPr>
        <w:t>充电机支持区域组网实现集群控制和管理功能，根据用电负荷需求和配电能力，进行动态负荷调度或设定固定负荷上限，实时调控充电终端功率输出，满足充电需求。</w:t>
      </w:r>
    </w:p>
    <w:p w14:paraId="6EBC447F">
      <w:pPr>
        <w:ind w:firstLine="480"/>
        <w:rPr>
          <w:rFonts w:hint="eastAsia" w:ascii="仿宋" w:hAnsi="仿宋" w:eastAsia="仿宋" w:cs="仿宋"/>
          <w:sz w:val="24"/>
          <w:szCs w:val="24"/>
        </w:rPr>
      </w:pPr>
      <w:r>
        <w:rPr>
          <w:rFonts w:hint="eastAsia" w:ascii="仿宋" w:hAnsi="仿宋" w:eastAsia="仿宋" w:cs="仿宋"/>
          <w:sz w:val="24"/>
          <w:szCs w:val="24"/>
        </w:rPr>
        <w:t>2.2.10人机交互功能</w:t>
      </w:r>
    </w:p>
    <w:p w14:paraId="467D412C">
      <w:pPr>
        <w:ind w:firstLine="480"/>
        <w:rPr>
          <w:rFonts w:hint="eastAsia" w:ascii="仿宋" w:hAnsi="仿宋" w:eastAsia="仿宋" w:cs="仿宋"/>
          <w:sz w:val="24"/>
          <w:szCs w:val="24"/>
        </w:rPr>
      </w:pPr>
      <w:r>
        <w:rPr>
          <w:rFonts w:hint="eastAsia" w:ascii="仿宋" w:hAnsi="仿宋" w:eastAsia="仿宋" w:cs="仿宋"/>
          <w:sz w:val="24"/>
          <w:szCs w:val="24"/>
        </w:rPr>
        <w:t>充电终端应配置7英寸触摸屏及状态指示灯，具备状态指示功能，可实时显示充电参数，并可通过LED状态灯的颜色变换展示不同充电状态，颜色不限于绿色、黄色、红色等，状态不限于空闲、充电中、故障等。</w:t>
      </w:r>
    </w:p>
    <w:p w14:paraId="1F2E408F">
      <w:pPr>
        <w:ind w:firstLine="480"/>
        <w:rPr>
          <w:rFonts w:hint="eastAsia" w:ascii="仿宋" w:hAnsi="仿宋" w:eastAsia="仿宋" w:cs="仿宋"/>
          <w:sz w:val="24"/>
          <w:szCs w:val="24"/>
        </w:rPr>
      </w:pPr>
      <w:r>
        <w:rPr>
          <w:rFonts w:hint="eastAsia" w:ascii="仿宋" w:hAnsi="仿宋" w:eastAsia="仿宋" w:cs="仿宋"/>
          <w:sz w:val="24"/>
          <w:szCs w:val="24"/>
        </w:rPr>
        <w:t>2.2.1</w:t>
      </w:r>
      <w:r>
        <w:rPr>
          <w:rFonts w:hint="eastAsia" w:ascii="仿宋" w:hAnsi="仿宋" w:eastAsia="仿宋" w:cs="仿宋"/>
          <w:sz w:val="24"/>
          <w:szCs w:val="24"/>
          <w:lang w:val="en-US" w:eastAsia="zh-CN"/>
        </w:rPr>
        <w:t>1</w:t>
      </w:r>
      <w:r>
        <w:rPr>
          <w:rFonts w:hint="eastAsia" w:ascii="仿宋" w:hAnsi="仿宋" w:eastAsia="仿宋" w:cs="仿宋"/>
          <w:sz w:val="24"/>
          <w:szCs w:val="24"/>
        </w:rPr>
        <w:t>与甲方指定监控管理系统通信功能</w:t>
      </w:r>
    </w:p>
    <w:p w14:paraId="58F57429">
      <w:pPr>
        <w:ind w:firstLine="480"/>
        <w:rPr>
          <w:rFonts w:hint="eastAsia" w:ascii="仿宋" w:hAnsi="仿宋" w:eastAsia="仿宋" w:cs="仿宋"/>
          <w:sz w:val="24"/>
          <w:szCs w:val="24"/>
        </w:rPr>
      </w:pPr>
      <w:r>
        <w:rPr>
          <w:rFonts w:hint="eastAsia" w:ascii="仿宋" w:hAnsi="仿宋" w:eastAsia="仿宋" w:cs="仿宋"/>
          <w:sz w:val="24"/>
          <w:szCs w:val="24"/>
        </w:rPr>
        <w:t>充电桩应具备与甲方指定监控管理系统通信的功能，</w:t>
      </w:r>
      <w:r>
        <w:rPr>
          <w:rFonts w:hint="eastAsia" w:ascii="仿宋" w:hAnsi="仿宋" w:eastAsia="仿宋" w:cs="仿宋"/>
          <w:sz w:val="24"/>
          <w:szCs w:val="24"/>
          <w:lang w:val="en-US" w:eastAsia="zh-CN"/>
        </w:rPr>
        <w:t>支持同时接入多个平台</w:t>
      </w:r>
      <w:r>
        <w:rPr>
          <w:rFonts w:hint="eastAsia" w:ascii="仿宋" w:hAnsi="仿宋" w:eastAsia="仿宋" w:cs="仿宋"/>
          <w:sz w:val="24"/>
          <w:szCs w:val="24"/>
        </w:rPr>
        <w:t>。</w:t>
      </w:r>
    </w:p>
    <w:p w14:paraId="4A3CCE32">
      <w:pPr>
        <w:ind w:left="480" w:leftChars="150" w:firstLine="0" w:firstLineChars="0"/>
        <w:rPr>
          <w:rFonts w:hint="eastAsia" w:ascii="仿宋" w:hAnsi="仿宋" w:eastAsia="仿宋" w:cs="仿宋"/>
          <w:sz w:val="24"/>
          <w:szCs w:val="24"/>
        </w:rPr>
      </w:pPr>
      <w:r>
        <w:rPr>
          <w:rFonts w:hint="eastAsia" w:ascii="仿宋" w:hAnsi="仿宋" w:eastAsia="仿宋" w:cs="仿宋"/>
          <w:sz w:val="24"/>
          <w:szCs w:val="24"/>
        </w:rPr>
        <w:t>2.2.1</w:t>
      </w:r>
      <w:r>
        <w:rPr>
          <w:rFonts w:hint="eastAsia" w:ascii="仿宋" w:hAnsi="仿宋" w:eastAsia="仿宋" w:cs="仿宋"/>
          <w:sz w:val="24"/>
          <w:szCs w:val="24"/>
          <w:lang w:val="en-US" w:eastAsia="zh-CN"/>
        </w:rPr>
        <w:t>2</w:t>
      </w:r>
      <w:r>
        <w:rPr>
          <w:rFonts w:hint="eastAsia" w:ascii="仿宋" w:hAnsi="仿宋" w:eastAsia="仿宋" w:cs="仿宋"/>
          <w:sz w:val="24"/>
          <w:szCs w:val="24"/>
        </w:rPr>
        <w:t>通信功能</w:t>
      </w:r>
    </w:p>
    <w:p w14:paraId="5F9306AD">
      <w:pPr>
        <w:ind w:firstLine="480"/>
        <w:rPr>
          <w:rFonts w:hint="eastAsia" w:ascii="仿宋" w:hAnsi="仿宋" w:eastAsia="仿宋" w:cs="仿宋"/>
          <w:sz w:val="24"/>
          <w:szCs w:val="24"/>
        </w:rPr>
      </w:pPr>
      <w:r>
        <w:rPr>
          <w:rFonts w:hint="eastAsia" w:ascii="仿宋" w:hAnsi="仿宋" w:eastAsia="仿宋" w:cs="仿宋"/>
          <w:sz w:val="24"/>
          <w:szCs w:val="24"/>
        </w:rPr>
        <w:t>配置4G通讯模块，采用4G通讯流量卡连接网络，手机APP、PAD、PC登陆云平台进行充电状态的监控、查询及控制功能。</w:t>
      </w:r>
    </w:p>
    <w:p w14:paraId="65D8A48D">
      <w:pPr>
        <w:ind w:firstLine="480"/>
        <w:rPr>
          <w:rFonts w:hint="eastAsia" w:ascii="仿宋" w:hAnsi="仿宋" w:eastAsia="仿宋" w:cs="仿宋"/>
          <w:sz w:val="24"/>
          <w:szCs w:val="24"/>
        </w:rPr>
      </w:pPr>
      <w:r>
        <w:rPr>
          <w:rFonts w:hint="eastAsia" w:ascii="仿宋" w:hAnsi="仿宋" w:eastAsia="仿宋" w:cs="仿宋"/>
          <w:sz w:val="24"/>
          <w:szCs w:val="24"/>
        </w:rPr>
        <w:t>2.2.1</w:t>
      </w:r>
      <w:r>
        <w:rPr>
          <w:rFonts w:hint="eastAsia" w:ascii="仿宋" w:hAnsi="仿宋" w:eastAsia="仿宋" w:cs="仿宋"/>
          <w:sz w:val="24"/>
          <w:szCs w:val="24"/>
          <w:lang w:val="en-US" w:eastAsia="zh-CN"/>
        </w:rPr>
        <w:t>3</w:t>
      </w:r>
      <w:r>
        <w:rPr>
          <w:rFonts w:hint="eastAsia" w:ascii="仿宋" w:hAnsi="仿宋" w:eastAsia="仿宋" w:cs="仿宋"/>
          <w:sz w:val="24"/>
          <w:szCs w:val="24"/>
        </w:rPr>
        <w:t>故障录波</w:t>
      </w:r>
    </w:p>
    <w:p w14:paraId="561EAE0F">
      <w:pPr>
        <w:ind w:firstLine="480"/>
        <w:rPr>
          <w:rFonts w:hint="eastAsia" w:ascii="仿宋" w:hAnsi="仿宋" w:eastAsia="仿宋" w:cs="仿宋"/>
          <w:sz w:val="24"/>
          <w:szCs w:val="24"/>
        </w:rPr>
      </w:pPr>
      <w:r>
        <w:rPr>
          <w:rFonts w:hint="eastAsia" w:ascii="仿宋" w:hAnsi="仿宋" w:eastAsia="仿宋" w:cs="仿宋"/>
          <w:sz w:val="24"/>
          <w:szCs w:val="24"/>
        </w:rPr>
        <w:t>当充电机出现故障特征或实际发生故障时，可记录故障前后电池、充电机等关键信息（电压、电流、SOC、温度、单体电池信息），用于故障分析。</w:t>
      </w:r>
    </w:p>
    <w:p w14:paraId="53D36E29">
      <w:p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2.3耐气候环境要求</w:t>
      </w:r>
    </w:p>
    <w:p w14:paraId="6752DC3F">
      <w:pPr>
        <w:ind w:firstLine="480"/>
        <w:rPr>
          <w:rFonts w:hint="eastAsia" w:ascii="仿宋" w:hAnsi="仿宋" w:eastAsia="仿宋" w:cs="仿宋"/>
          <w:sz w:val="24"/>
          <w:szCs w:val="24"/>
        </w:rPr>
      </w:pPr>
      <w:r>
        <w:rPr>
          <w:rFonts w:hint="eastAsia" w:ascii="仿宋" w:hAnsi="仿宋" w:eastAsia="仿宋" w:cs="仿宋"/>
          <w:sz w:val="24"/>
          <w:szCs w:val="24"/>
        </w:rPr>
        <w:t>2.3.1防护等级</w:t>
      </w:r>
    </w:p>
    <w:p w14:paraId="0F3F53CA">
      <w:pPr>
        <w:ind w:firstLine="480"/>
        <w:rPr>
          <w:rFonts w:hint="eastAsia" w:ascii="仿宋" w:hAnsi="仿宋" w:eastAsia="仿宋" w:cs="仿宋"/>
          <w:sz w:val="24"/>
          <w:szCs w:val="24"/>
        </w:rPr>
      </w:pPr>
      <w:r>
        <w:rPr>
          <w:rFonts w:hint="eastAsia" w:ascii="仿宋" w:hAnsi="仿宋" w:eastAsia="仿宋" w:cs="仿宋"/>
          <w:sz w:val="24"/>
          <w:szCs w:val="24"/>
        </w:rPr>
        <w:t>充电机防护等级不应低于GB4208中IP32（室内）或IP54（室外）的规定。</w:t>
      </w:r>
    </w:p>
    <w:p w14:paraId="73DEDD61">
      <w:pPr>
        <w:ind w:firstLine="480"/>
        <w:rPr>
          <w:rFonts w:hint="eastAsia" w:ascii="仿宋" w:hAnsi="仿宋" w:eastAsia="仿宋" w:cs="仿宋"/>
          <w:sz w:val="24"/>
          <w:szCs w:val="24"/>
        </w:rPr>
      </w:pPr>
      <w:r>
        <w:rPr>
          <w:rFonts w:hint="eastAsia" w:ascii="仿宋" w:hAnsi="仿宋" w:eastAsia="仿宋" w:cs="仿宋"/>
          <w:sz w:val="24"/>
          <w:szCs w:val="24"/>
        </w:rPr>
        <w:t>2.3.2三防（防潮湿，防霉变，防盐雾）保护</w:t>
      </w:r>
    </w:p>
    <w:p w14:paraId="56EBA151">
      <w:pPr>
        <w:ind w:firstLine="480"/>
        <w:rPr>
          <w:rFonts w:hint="eastAsia" w:ascii="仿宋" w:hAnsi="仿宋" w:eastAsia="仿宋" w:cs="仿宋"/>
          <w:sz w:val="24"/>
          <w:szCs w:val="24"/>
        </w:rPr>
      </w:pPr>
      <w:r>
        <w:rPr>
          <w:rFonts w:hint="eastAsia" w:ascii="仿宋" w:hAnsi="仿宋" w:eastAsia="仿宋" w:cs="仿宋"/>
          <w:sz w:val="24"/>
          <w:szCs w:val="24"/>
        </w:rPr>
        <w:t>充电机内印刷线路板、接插件等电路应具有防潮湿、防霉变、防盐雾处理，保证充电桩在潮湿、盐雾环境下正常运行。</w:t>
      </w:r>
    </w:p>
    <w:p w14:paraId="085D6578">
      <w:pPr>
        <w:ind w:firstLine="480"/>
        <w:rPr>
          <w:rFonts w:hint="eastAsia" w:ascii="仿宋" w:hAnsi="仿宋" w:eastAsia="仿宋" w:cs="仿宋"/>
          <w:sz w:val="24"/>
          <w:szCs w:val="24"/>
        </w:rPr>
      </w:pPr>
      <w:r>
        <w:rPr>
          <w:rFonts w:hint="eastAsia" w:ascii="仿宋" w:hAnsi="仿宋" w:eastAsia="仿宋" w:cs="仿宋"/>
          <w:sz w:val="24"/>
          <w:szCs w:val="24"/>
        </w:rPr>
        <w:t>2.3.3防锈（防氧化）保护</w:t>
      </w:r>
    </w:p>
    <w:p w14:paraId="1ACD9001">
      <w:pPr>
        <w:ind w:firstLine="480"/>
        <w:rPr>
          <w:rFonts w:hint="eastAsia" w:ascii="仿宋" w:hAnsi="仿宋" w:eastAsia="仿宋" w:cs="仿宋"/>
          <w:sz w:val="24"/>
          <w:szCs w:val="24"/>
        </w:rPr>
      </w:pPr>
      <w:r>
        <w:rPr>
          <w:rFonts w:hint="eastAsia" w:ascii="仿宋" w:hAnsi="仿宋" w:eastAsia="仿宋" w:cs="仿宋"/>
          <w:sz w:val="24"/>
          <w:szCs w:val="24"/>
        </w:rPr>
        <w:t>充电机铁质外壳和暴露的铁质支架、零件应采用双层防锈措施，非铁质的金属外壳也应具有防氧化保护膜或防氧化处理。</w:t>
      </w:r>
    </w:p>
    <w:p w14:paraId="037819F0">
      <w:p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2.4防护要求</w:t>
      </w:r>
    </w:p>
    <w:p w14:paraId="28569689">
      <w:pPr>
        <w:ind w:firstLine="480"/>
        <w:rPr>
          <w:rFonts w:hint="eastAsia" w:ascii="仿宋" w:hAnsi="仿宋" w:eastAsia="仿宋" w:cs="仿宋"/>
          <w:sz w:val="24"/>
          <w:szCs w:val="24"/>
        </w:rPr>
      </w:pPr>
      <w:r>
        <w:rPr>
          <w:rFonts w:hint="eastAsia" w:ascii="仿宋" w:hAnsi="仿宋" w:eastAsia="仿宋" w:cs="仿宋"/>
          <w:sz w:val="24"/>
          <w:szCs w:val="24"/>
        </w:rPr>
        <w:t>2.4.1允许温度</w:t>
      </w:r>
    </w:p>
    <w:p w14:paraId="494FE6DC">
      <w:pPr>
        <w:ind w:firstLine="480"/>
        <w:rPr>
          <w:rFonts w:hint="eastAsia" w:ascii="仿宋" w:hAnsi="仿宋" w:eastAsia="仿宋" w:cs="仿宋"/>
          <w:sz w:val="24"/>
          <w:szCs w:val="24"/>
        </w:rPr>
      </w:pPr>
      <w:r>
        <w:rPr>
          <w:rFonts w:hint="eastAsia" w:ascii="仿宋" w:hAnsi="仿宋" w:eastAsia="仿宋" w:cs="仿宋"/>
          <w:sz w:val="24"/>
          <w:szCs w:val="24"/>
        </w:rPr>
        <w:t>（1）在40℃环境温度下，充电机可用手接触部分允许的最高温度应为：</w:t>
      </w:r>
    </w:p>
    <w:p w14:paraId="23FCD026">
      <w:pPr>
        <w:ind w:firstLine="480"/>
        <w:rPr>
          <w:rFonts w:hint="eastAsia" w:ascii="仿宋" w:hAnsi="仿宋" w:eastAsia="仿宋" w:cs="仿宋"/>
          <w:sz w:val="24"/>
          <w:szCs w:val="24"/>
        </w:rPr>
      </w:pPr>
      <w:r>
        <w:rPr>
          <w:rFonts w:hint="eastAsia" w:ascii="仿宋" w:hAnsi="仿宋" w:eastAsia="仿宋" w:cs="仿宋"/>
          <w:sz w:val="24"/>
          <w:szCs w:val="24"/>
        </w:rPr>
        <w:t>——金属部分，50℃；</w:t>
      </w:r>
    </w:p>
    <w:p w14:paraId="0CE8DFD5">
      <w:pPr>
        <w:ind w:firstLine="480"/>
        <w:rPr>
          <w:rFonts w:hint="eastAsia" w:ascii="仿宋" w:hAnsi="仿宋" w:eastAsia="仿宋" w:cs="仿宋"/>
          <w:sz w:val="24"/>
          <w:szCs w:val="24"/>
        </w:rPr>
      </w:pPr>
      <w:r>
        <w:rPr>
          <w:rFonts w:hint="eastAsia" w:ascii="仿宋" w:hAnsi="仿宋" w:eastAsia="仿宋" w:cs="仿宋"/>
          <w:sz w:val="24"/>
          <w:szCs w:val="24"/>
        </w:rPr>
        <w:t>——非金属部分，60℃。</w:t>
      </w:r>
    </w:p>
    <w:p w14:paraId="019573C5">
      <w:pPr>
        <w:ind w:firstLine="480"/>
        <w:rPr>
          <w:rFonts w:hint="eastAsia" w:ascii="仿宋" w:hAnsi="仿宋" w:eastAsia="仿宋" w:cs="仿宋"/>
          <w:sz w:val="24"/>
          <w:szCs w:val="24"/>
        </w:rPr>
      </w:pPr>
      <w:r>
        <w:rPr>
          <w:rFonts w:hint="eastAsia" w:ascii="仿宋" w:hAnsi="仿宋" w:eastAsia="仿宋" w:cs="仿宋"/>
          <w:sz w:val="24"/>
          <w:szCs w:val="24"/>
        </w:rPr>
        <w:t>（2）可以用手接触但不必紧握的部分，在同样条件下允许的最高温度应为：</w:t>
      </w:r>
    </w:p>
    <w:p w14:paraId="6C5ED554">
      <w:pPr>
        <w:ind w:firstLine="480"/>
        <w:rPr>
          <w:rFonts w:hint="eastAsia" w:ascii="仿宋" w:hAnsi="仿宋" w:eastAsia="仿宋" w:cs="仿宋"/>
          <w:sz w:val="24"/>
          <w:szCs w:val="24"/>
        </w:rPr>
      </w:pPr>
      <w:r>
        <w:rPr>
          <w:rFonts w:hint="eastAsia" w:ascii="仿宋" w:hAnsi="仿宋" w:eastAsia="仿宋" w:cs="仿宋"/>
          <w:sz w:val="24"/>
          <w:szCs w:val="24"/>
        </w:rPr>
        <w:t>——金属部分，60℃；</w:t>
      </w:r>
    </w:p>
    <w:p w14:paraId="0A4EA148">
      <w:pPr>
        <w:ind w:firstLine="480"/>
        <w:rPr>
          <w:rFonts w:hint="eastAsia" w:ascii="仿宋" w:hAnsi="仿宋" w:eastAsia="仿宋" w:cs="仿宋"/>
          <w:sz w:val="24"/>
          <w:szCs w:val="24"/>
        </w:rPr>
      </w:pPr>
      <w:r>
        <w:rPr>
          <w:rFonts w:hint="eastAsia" w:ascii="仿宋" w:hAnsi="仿宋" w:eastAsia="仿宋" w:cs="仿宋"/>
          <w:sz w:val="24"/>
          <w:szCs w:val="24"/>
        </w:rPr>
        <w:t>——非金属部分，85℃。</w:t>
      </w:r>
    </w:p>
    <w:p w14:paraId="0279D415">
      <w:pPr>
        <w:ind w:firstLine="480"/>
        <w:rPr>
          <w:rFonts w:hint="eastAsia" w:ascii="仿宋" w:hAnsi="仿宋" w:eastAsia="仿宋" w:cs="仿宋"/>
          <w:sz w:val="24"/>
          <w:szCs w:val="24"/>
        </w:rPr>
      </w:pPr>
      <w:r>
        <w:rPr>
          <w:rFonts w:hint="eastAsia" w:ascii="仿宋" w:hAnsi="仿宋" w:eastAsia="仿宋" w:cs="仿宋"/>
          <w:sz w:val="24"/>
          <w:szCs w:val="24"/>
        </w:rPr>
        <w:t>2.4.2电击防护要求</w:t>
      </w:r>
    </w:p>
    <w:p w14:paraId="0644372D">
      <w:pPr>
        <w:ind w:firstLine="480"/>
        <w:rPr>
          <w:rFonts w:hint="eastAsia" w:ascii="仿宋" w:hAnsi="仿宋" w:eastAsia="仿宋" w:cs="仿宋"/>
          <w:sz w:val="24"/>
          <w:szCs w:val="24"/>
        </w:rPr>
      </w:pPr>
      <w:r>
        <w:rPr>
          <w:rFonts w:hint="eastAsia" w:ascii="仿宋" w:hAnsi="仿宋" w:eastAsia="仿宋" w:cs="仿宋"/>
          <w:sz w:val="24"/>
          <w:szCs w:val="24"/>
        </w:rPr>
        <w:t>充电机的电击防护应符合GB/T18487.1-2015中第7章的要求。</w:t>
      </w:r>
    </w:p>
    <w:p w14:paraId="27DA32AA">
      <w:pPr>
        <w:ind w:firstLine="480"/>
        <w:rPr>
          <w:rFonts w:hint="eastAsia" w:ascii="仿宋" w:hAnsi="仿宋" w:eastAsia="仿宋" w:cs="仿宋"/>
          <w:sz w:val="24"/>
          <w:szCs w:val="24"/>
        </w:rPr>
      </w:pPr>
      <w:r>
        <w:rPr>
          <w:rFonts w:hint="eastAsia" w:ascii="仿宋" w:hAnsi="仿宋" w:eastAsia="仿宋" w:cs="仿宋"/>
          <w:sz w:val="24"/>
          <w:szCs w:val="24"/>
        </w:rPr>
        <w:t>2.4.3电气间隙和爬电距离</w:t>
      </w:r>
    </w:p>
    <w:p w14:paraId="4EFA26E3">
      <w:pPr>
        <w:ind w:firstLine="480"/>
        <w:rPr>
          <w:rFonts w:hint="eastAsia" w:ascii="仿宋" w:hAnsi="仿宋" w:eastAsia="仿宋" w:cs="仿宋"/>
          <w:sz w:val="21"/>
          <w:szCs w:val="21"/>
        </w:rPr>
      </w:pPr>
      <w:r>
        <w:rPr>
          <w:rFonts w:hint="eastAsia" w:ascii="仿宋" w:hAnsi="仿宋" w:eastAsia="仿宋" w:cs="仿宋"/>
          <w:sz w:val="24"/>
          <w:szCs w:val="24"/>
        </w:rPr>
        <w:t>充电机的电气间隙和爬电距离应符合GB/T18487.1-2015中10.4节的规定。</w:t>
      </w:r>
    </w:p>
    <w:p w14:paraId="38A8A7BC">
      <w:pPr>
        <w:ind w:firstLine="420"/>
        <w:jc w:val="center"/>
        <w:rPr>
          <w:rFonts w:hint="eastAsia" w:ascii="仿宋" w:hAnsi="仿宋" w:eastAsia="仿宋" w:cs="仿宋"/>
          <w:sz w:val="21"/>
          <w:szCs w:val="21"/>
        </w:rPr>
      </w:pPr>
      <w:r>
        <w:rPr>
          <w:rFonts w:hint="eastAsia" w:ascii="仿宋" w:hAnsi="仿宋" w:eastAsia="仿宋" w:cs="仿宋"/>
          <w:sz w:val="21"/>
          <w:szCs w:val="21"/>
        </w:rPr>
        <w:t>电气间隙和爬电距离</w:t>
      </w:r>
    </w:p>
    <w:tbl>
      <w:tblPr>
        <w:tblStyle w:val="6"/>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84"/>
        <w:gridCol w:w="2894"/>
        <w:gridCol w:w="3040"/>
      </w:tblGrid>
      <w:tr w14:paraId="1BAF6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4" w:type="dxa"/>
            <w:tcBorders>
              <w:top w:val="single" w:color="auto" w:sz="4" w:space="0"/>
              <w:left w:val="single" w:color="auto" w:sz="4" w:space="0"/>
              <w:bottom w:val="single" w:color="auto" w:sz="4" w:space="0"/>
              <w:right w:val="single" w:color="auto" w:sz="4" w:space="0"/>
            </w:tcBorders>
            <w:vAlign w:val="center"/>
          </w:tcPr>
          <w:p w14:paraId="2CA8080F">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额定绝缘电压Ui</w:t>
            </w:r>
          </w:p>
          <w:p w14:paraId="759872CF">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（V）</w:t>
            </w:r>
          </w:p>
        </w:tc>
        <w:tc>
          <w:tcPr>
            <w:tcW w:w="2894" w:type="dxa"/>
            <w:tcBorders>
              <w:top w:val="single" w:color="auto" w:sz="4" w:space="0"/>
              <w:left w:val="single" w:color="auto" w:sz="4" w:space="0"/>
              <w:bottom w:val="single" w:color="auto" w:sz="4" w:space="0"/>
              <w:right w:val="single" w:color="auto" w:sz="4" w:space="0"/>
            </w:tcBorders>
            <w:vAlign w:val="center"/>
          </w:tcPr>
          <w:p w14:paraId="03E26D3A">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电气间隙</w:t>
            </w:r>
          </w:p>
          <w:p w14:paraId="102F9223">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（mm）</w:t>
            </w:r>
          </w:p>
        </w:tc>
        <w:tc>
          <w:tcPr>
            <w:tcW w:w="3040" w:type="dxa"/>
            <w:tcBorders>
              <w:top w:val="single" w:color="auto" w:sz="4" w:space="0"/>
              <w:left w:val="single" w:color="auto" w:sz="4" w:space="0"/>
              <w:bottom w:val="single" w:color="auto" w:sz="4" w:space="0"/>
              <w:right w:val="single" w:color="auto" w:sz="4" w:space="0"/>
            </w:tcBorders>
            <w:vAlign w:val="center"/>
          </w:tcPr>
          <w:p w14:paraId="6224521C">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爬电距离</w:t>
            </w:r>
          </w:p>
          <w:p w14:paraId="7D8D844D">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（mm）</w:t>
            </w:r>
          </w:p>
        </w:tc>
      </w:tr>
      <w:tr w14:paraId="6606A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trPr>
        <w:tc>
          <w:tcPr>
            <w:tcW w:w="3184" w:type="dxa"/>
            <w:tcBorders>
              <w:top w:val="single" w:color="auto" w:sz="4" w:space="0"/>
              <w:left w:val="single" w:color="auto" w:sz="4" w:space="0"/>
              <w:bottom w:val="single" w:color="auto" w:sz="4" w:space="0"/>
              <w:right w:val="single" w:color="auto" w:sz="4" w:space="0"/>
            </w:tcBorders>
            <w:vAlign w:val="center"/>
          </w:tcPr>
          <w:p w14:paraId="5B297CC8">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Ui≤60</w:t>
            </w:r>
          </w:p>
        </w:tc>
        <w:tc>
          <w:tcPr>
            <w:tcW w:w="2894" w:type="dxa"/>
            <w:tcBorders>
              <w:top w:val="single" w:color="auto" w:sz="4" w:space="0"/>
              <w:left w:val="single" w:color="auto" w:sz="4" w:space="0"/>
              <w:bottom w:val="single" w:color="auto" w:sz="4" w:space="0"/>
              <w:right w:val="single" w:color="auto" w:sz="4" w:space="0"/>
            </w:tcBorders>
            <w:vAlign w:val="center"/>
          </w:tcPr>
          <w:p w14:paraId="583CEA4B">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3.0</w:t>
            </w:r>
          </w:p>
        </w:tc>
        <w:tc>
          <w:tcPr>
            <w:tcW w:w="3040" w:type="dxa"/>
            <w:tcBorders>
              <w:top w:val="single" w:color="auto" w:sz="4" w:space="0"/>
              <w:left w:val="single" w:color="auto" w:sz="4" w:space="0"/>
              <w:bottom w:val="single" w:color="auto" w:sz="4" w:space="0"/>
              <w:right w:val="single" w:color="auto" w:sz="4" w:space="0"/>
            </w:tcBorders>
            <w:vAlign w:val="center"/>
          </w:tcPr>
          <w:p w14:paraId="00D9B7BA">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3.0</w:t>
            </w:r>
          </w:p>
        </w:tc>
      </w:tr>
      <w:tr w14:paraId="6FBFD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3184" w:type="dxa"/>
            <w:tcBorders>
              <w:top w:val="single" w:color="auto" w:sz="4" w:space="0"/>
              <w:left w:val="single" w:color="auto" w:sz="4" w:space="0"/>
              <w:bottom w:val="single" w:color="auto" w:sz="4" w:space="0"/>
              <w:right w:val="single" w:color="auto" w:sz="4" w:space="0"/>
            </w:tcBorders>
            <w:vAlign w:val="center"/>
          </w:tcPr>
          <w:p w14:paraId="7230C963">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60＜Ui≤300</w:t>
            </w:r>
          </w:p>
        </w:tc>
        <w:tc>
          <w:tcPr>
            <w:tcW w:w="2894" w:type="dxa"/>
            <w:tcBorders>
              <w:top w:val="single" w:color="auto" w:sz="4" w:space="0"/>
              <w:left w:val="single" w:color="auto" w:sz="4" w:space="0"/>
              <w:bottom w:val="single" w:color="auto" w:sz="4" w:space="0"/>
              <w:right w:val="single" w:color="auto" w:sz="4" w:space="0"/>
            </w:tcBorders>
            <w:vAlign w:val="center"/>
          </w:tcPr>
          <w:p w14:paraId="6FEFC02F">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5.0</w:t>
            </w:r>
          </w:p>
        </w:tc>
        <w:tc>
          <w:tcPr>
            <w:tcW w:w="3040" w:type="dxa"/>
            <w:tcBorders>
              <w:top w:val="single" w:color="auto" w:sz="4" w:space="0"/>
              <w:left w:val="single" w:color="auto" w:sz="4" w:space="0"/>
              <w:bottom w:val="single" w:color="auto" w:sz="4" w:space="0"/>
              <w:right w:val="single" w:color="auto" w:sz="4" w:space="0"/>
            </w:tcBorders>
            <w:vAlign w:val="center"/>
          </w:tcPr>
          <w:p w14:paraId="0F239C8A">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6.0</w:t>
            </w:r>
          </w:p>
        </w:tc>
      </w:tr>
      <w:tr w14:paraId="14D1F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3184" w:type="dxa"/>
            <w:tcBorders>
              <w:top w:val="single" w:color="auto" w:sz="4" w:space="0"/>
              <w:left w:val="single" w:color="auto" w:sz="4" w:space="0"/>
              <w:bottom w:val="single" w:color="auto" w:sz="4" w:space="0"/>
              <w:right w:val="single" w:color="auto" w:sz="4" w:space="0"/>
            </w:tcBorders>
            <w:vAlign w:val="center"/>
          </w:tcPr>
          <w:p w14:paraId="46DE3490">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300＜Ui≤700</w:t>
            </w:r>
          </w:p>
        </w:tc>
        <w:tc>
          <w:tcPr>
            <w:tcW w:w="2894" w:type="dxa"/>
            <w:tcBorders>
              <w:top w:val="single" w:color="auto" w:sz="4" w:space="0"/>
              <w:left w:val="single" w:color="auto" w:sz="4" w:space="0"/>
              <w:bottom w:val="single" w:color="auto" w:sz="4" w:space="0"/>
              <w:right w:val="single" w:color="auto" w:sz="4" w:space="0"/>
            </w:tcBorders>
            <w:vAlign w:val="center"/>
          </w:tcPr>
          <w:p w14:paraId="206BDF24">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8.0</w:t>
            </w:r>
          </w:p>
        </w:tc>
        <w:tc>
          <w:tcPr>
            <w:tcW w:w="3040" w:type="dxa"/>
            <w:tcBorders>
              <w:top w:val="single" w:color="auto" w:sz="4" w:space="0"/>
              <w:left w:val="single" w:color="auto" w:sz="4" w:space="0"/>
              <w:bottom w:val="single" w:color="auto" w:sz="4" w:space="0"/>
              <w:right w:val="single" w:color="auto" w:sz="4" w:space="0"/>
            </w:tcBorders>
            <w:vAlign w:val="center"/>
          </w:tcPr>
          <w:p w14:paraId="4BF143C8">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10.0</w:t>
            </w:r>
          </w:p>
        </w:tc>
      </w:tr>
      <w:tr w14:paraId="10F80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118" w:type="dxa"/>
            <w:gridSpan w:val="3"/>
            <w:tcBorders>
              <w:top w:val="single" w:color="auto" w:sz="4" w:space="0"/>
              <w:left w:val="single" w:color="auto" w:sz="4" w:space="0"/>
              <w:bottom w:val="single" w:color="auto" w:sz="4" w:space="0"/>
              <w:right w:val="single" w:color="auto" w:sz="4" w:space="0"/>
            </w:tcBorders>
            <w:vAlign w:val="center"/>
          </w:tcPr>
          <w:p w14:paraId="43EFD60F">
            <w:pPr>
              <w:ind w:firstLine="0" w:firstLineChars="0"/>
              <w:rPr>
                <w:rFonts w:hint="eastAsia" w:ascii="仿宋" w:hAnsi="仿宋" w:eastAsia="仿宋" w:cs="仿宋"/>
                <w:sz w:val="21"/>
                <w:szCs w:val="21"/>
              </w:rPr>
            </w:pPr>
            <w:r>
              <w:rPr>
                <w:rFonts w:hint="eastAsia" w:ascii="仿宋" w:hAnsi="仿宋" w:eastAsia="仿宋" w:cs="仿宋"/>
                <w:sz w:val="21"/>
                <w:szCs w:val="21"/>
              </w:rPr>
              <w:t>注1：当主电路与控制电路或辅助电路的额定绝缘电压不一致时，其电气间隙和爬电距离可分别按其额定值选取。</w:t>
            </w:r>
          </w:p>
          <w:p w14:paraId="57709CCF">
            <w:pPr>
              <w:ind w:firstLine="0" w:firstLineChars="0"/>
              <w:rPr>
                <w:rFonts w:hint="eastAsia" w:ascii="仿宋" w:hAnsi="仿宋" w:eastAsia="仿宋" w:cs="仿宋"/>
                <w:sz w:val="21"/>
                <w:szCs w:val="21"/>
              </w:rPr>
            </w:pPr>
            <w:r>
              <w:rPr>
                <w:rFonts w:hint="eastAsia" w:ascii="仿宋" w:hAnsi="仿宋" w:eastAsia="仿宋" w:cs="仿宋"/>
                <w:sz w:val="21"/>
                <w:szCs w:val="21"/>
              </w:rPr>
              <w:t>注2：具有不同额定值主电路或控制电路导电部分之间的电气间隙与爬电距离，应按最高额定绝缘电压选取。</w:t>
            </w:r>
          </w:p>
        </w:tc>
      </w:tr>
    </w:tbl>
    <w:p w14:paraId="56183651">
      <w:pPr>
        <w:ind w:firstLine="480"/>
        <w:rPr>
          <w:rFonts w:hint="eastAsia" w:ascii="仿宋" w:hAnsi="仿宋" w:eastAsia="仿宋" w:cs="仿宋"/>
          <w:sz w:val="24"/>
          <w:szCs w:val="24"/>
        </w:rPr>
      </w:pPr>
      <w:r>
        <w:rPr>
          <w:rFonts w:hint="eastAsia" w:ascii="仿宋" w:hAnsi="仿宋" w:eastAsia="仿宋" w:cs="仿宋"/>
          <w:sz w:val="24"/>
          <w:szCs w:val="24"/>
        </w:rPr>
        <w:t>2.4.4接地要求</w:t>
      </w:r>
    </w:p>
    <w:p w14:paraId="2B711A1A">
      <w:pPr>
        <w:ind w:firstLine="480"/>
        <w:rPr>
          <w:rFonts w:hint="eastAsia" w:ascii="仿宋" w:hAnsi="仿宋" w:eastAsia="仿宋" w:cs="仿宋"/>
          <w:sz w:val="24"/>
          <w:szCs w:val="24"/>
        </w:rPr>
      </w:pPr>
      <w:r>
        <w:rPr>
          <w:rFonts w:hint="eastAsia" w:ascii="仿宋" w:hAnsi="仿宋" w:eastAsia="仿宋" w:cs="仿宋"/>
          <w:sz w:val="24"/>
          <w:szCs w:val="24"/>
        </w:rPr>
        <w:t>充电机的接地要求应能满足以下的规定：</w:t>
      </w:r>
    </w:p>
    <w:p w14:paraId="2DF8EE16">
      <w:pPr>
        <w:ind w:firstLine="480"/>
        <w:rPr>
          <w:rFonts w:hint="eastAsia" w:ascii="仿宋" w:hAnsi="仿宋" w:eastAsia="仿宋" w:cs="仿宋"/>
          <w:sz w:val="24"/>
          <w:szCs w:val="24"/>
        </w:rPr>
      </w:pPr>
      <w:r>
        <w:rPr>
          <w:rFonts w:hint="eastAsia" w:ascii="仿宋" w:hAnsi="仿宋" w:eastAsia="仿宋" w:cs="仿宋"/>
          <w:sz w:val="24"/>
          <w:szCs w:val="24"/>
        </w:rPr>
        <w:t>（1）充电机金属壳体应设置接地螺栓，其直径不得小于6mm，并应有接地标志。</w:t>
      </w:r>
    </w:p>
    <w:p w14:paraId="68CF9751">
      <w:pPr>
        <w:ind w:firstLine="480"/>
        <w:rPr>
          <w:rFonts w:hint="eastAsia" w:ascii="仿宋" w:hAnsi="仿宋" w:eastAsia="仿宋" w:cs="仿宋"/>
          <w:sz w:val="24"/>
          <w:szCs w:val="24"/>
        </w:rPr>
      </w:pPr>
      <w:r>
        <w:rPr>
          <w:rFonts w:hint="eastAsia" w:ascii="仿宋" w:hAnsi="仿宋" w:eastAsia="仿宋" w:cs="仿宋"/>
          <w:sz w:val="24"/>
          <w:szCs w:val="24"/>
        </w:rPr>
        <w:t>（2）所有作为隔离带电导体的金属隔板、电气元件的金属外壳以及金属手柄等均应有效接地，连续性电阻不应大于0.1Ω。</w:t>
      </w:r>
    </w:p>
    <w:p w14:paraId="376C4EE8">
      <w:pPr>
        <w:ind w:firstLine="480"/>
        <w:rPr>
          <w:rFonts w:hint="eastAsia" w:ascii="仿宋" w:hAnsi="仿宋" w:eastAsia="仿宋" w:cs="仿宋"/>
          <w:sz w:val="24"/>
          <w:szCs w:val="24"/>
        </w:rPr>
      </w:pPr>
      <w:r>
        <w:rPr>
          <w:rFonts w:hint="eastAsia" w:ascii="仿宋" w:hAnsi="仿宋" w:eastAsia="仿宋" w:cs="仿宋"/>
          <w:sz w:val="24"/>
          <w:szCs w:val="24"/>
        </w:rPr>
        <w:t>（3）充电机的门、盖板、覆板和类似部件，应采用保护导体将这些部件和充电机主体框架连接，此保护导体的截面积不得小于2.5mm2。</w:t>
      </w:r>
    </w:p>
    <w:p w14:paraId="037119C0">
      <w:pPr>
        <w:ind w:firstLine="480"/>
        <w:rPr>
          <w:rFonts w:hint="eastAsia" w:ascii="仿宋" w:hAnsi="仿宋" w:eastAsia="仿宋" w:cs="仿宋"/>
          <w:sz w:val="24"/>
          <w:szCs w:val="24"/>
        </w:rPr>
      </w:pPr>
      <w:r>
        <w:rPr>
          <w:rFonts w:hint="eastAsia" w:ascii="仿宋" w:hAnsi="仿宋" w:eastAsia="仿宋" w:cs="仿宋"/>
          <w:sz w:val="24"/>
          <w:szCs w:val="24"/>
        </w:rPr>
        <w:t>（4）接地母线和柜体之间的所有连接应躲开（或穿透绝缘层）喷漆层，以保证有效的电气连接。</w:t>
      </w:r>
    </w:p>
    <w:p w14:paraId="4B66B354">
      <w:pPr>
        <w:ind w:firstLine="480"/>
        <w:rPr>
          <w:rFonts w:hint="eastAsia" w:ascii="仿宋" w:hAnsi="仿宋" w:eastAsia="仿宋" w:cs="仿宋"/>
          <w:sz w:val="24"/>
          <w:szCs w:val="24"/>
        </w:rPr>
      </w:pPr>
      <w:r>
        <w:rPr>
          <w:rFonts w:hint="eastAsia" w:ascii="仿宋" w:hAnsi="仿宋" w:eastAsia="仿宋" w:cs="仿宋"/>
          <w:sz w:val="24"/>
          <w:szCs w:val="24"/>
        </w:rPr>
        <w:t>5）壳体、门锁、屏幕、线缆固定螺母等等各处易触及金属部件都应有良好的接地措施。</w:t>
      </w:r>
    </w:p>
    <w:p w14:paraId="01C9D5C2">
      <w:pPr>
        <w:ind w:firstLine="480"/>
        <w:rPr>
          <w:rFonts w:hint="eastAsia" w:ascii="仿宋" w:hAnsi="仿宋" w:eastAsia="仿宋" w:cs="仿宋"/>
          <w:sz w:val="24"/>
          <w:szCs w:val="24"/>
        </w:rPr>
      </w:pPr>
      <w:r>
        <w:rPr>
          <w:rFonts w:hint="eastAsia" w:ascii="仿宋" w:hAnsi="仿宋" w:eastAsia="仿宋" w:cs="仿宋"/>
          <w:sz w:val="24"/>
          <w:szCs w:val="24"/>
        </w:rPr>
        <w:t>2.4.5超温断电要求</w:t>
      </w:r>
    </w:p>
    <w:p w14:paraId="1A80A233">
      <w:pPr>
        <w:ind w:firstLine="480"/>
        <w:rPr>
          <w:rFonts w:hint="eastAsia" w:ascii="仿宋" w:hAnsi="仿宋" w:eastAsia="仿宋" w:cs="仿宋"/>
          <w:sz w:val="24"/>
          <w:szCs w:val="24"/>
        </w:rPr>
      </w:pPr>
      <w:r>
        <w:rPr>
          <w:rFonts w:hint="eastAsia" w:ascii="仿宋" w:hAnsi="仿宋" w:eastAsia="仿宋" w:cs="仿宋"/>
          <w:sz w:val="24"/>
          <w:szCs w:val="24"/>
        </w:rPr>
        <w:t>要求充电终端带有超温断电功能，提升设施防护安全性。</w:t>
      </w:r>
    </w:p>
    <w:p w14:paraId="7AA5727B">
      <w:pPr>
        <w:ind w:firstLine="480"/>
        <w:rPr>
          <w:rFonts w:hint="eastAsia" w:ascii="仿宋" w:hAnsi="仿宋" w:eastAsia="仿宋" w:cs="仿宋"/>
          <w:sz w:val="24"/>
          <w:szCs w:val="24"/>
        </w:rPr>
      </w:pPr>
      <w:r>
        <w:rPr>
          <w:rFonts w:hint="eastAsia" w:ascii="仿宋" w:hAnsi="仿宋" w:eastAsia="仿宋" w:cs="仿宋"/>
          <w:sz w:val="24"/>
          <w:szCs w:val="24"/>
        </w:rPr>
        <w:t>当确认充电枪头温度达到95℃时，充电机限制输出电流为当前直流电表检测值的50%，枪头温度超过95℃持续10min或达到110℃，充电机立即停止充电，并发出过温故障提示。</w:t>
      </w:r>
    </w:p>
    <w:p w14:paraId="1A2C635B">
      <w:p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2.5绝缘性能</w:t>
      </w:r>
    </w:p>
    <w:p w14:paraId="7716D055">
      <w:pPr>
        <w:ind w:firstLine="480"/>
        <w:rPr>
          <w:rFonts w:hint="eastAsia" w:ascii="仿宋" w:hAnsi="仿宋" w:eastAsia="仿宋" w:cs="仿宋"/>
          <w:sz w:val="24"/>
          <w:szCs w:val="24"/>
        </w:rPr>
      </w:pPr>
      <w:r>
        <w:rPr>
          <w:rFonts w:hint="eastAsia" w:ascii="仿宋" w:hAnsi="仿宋" w:eastAsia="仿宋" w:cs="仿宋"/>
          <w:sz w:val="24"/>
          <w:szCs w:val="24"/>
        </w:rPr>
        <w:t>2.5.1绝缘电阻</w:t>
      </w:r>
    </w:p>
    <w:p w14:paraId="273E36FA">
      <w:pPr>
        <w:ind w:firstLine="480"/>
        <w:rPr>
          <w:rFonts w:hint="eastAsia" w:ascii="仿宋" w:hAnsi="仿宋" w:eastAsia="仿宋" w:cs="仿宋"/>
          <w:sz w:val="24"/>
          <w:szCs w:val="24"/>
        </w:rPr>
      </w:pPr>
      <w:r>
        <w:rPr>
          <w:rFonts w:hint="eastAsia" w:ascii="仿宋" w:hAnsi="仿宋" w:eastAsia="仿宋" w:cs="仿宋"/>
          <w:sz w:val="24"/>
          <w:szCs w:val="24"/>
        </w:rPr>
        <w:t>用开路电压为下表规定电压的测试仪器测量，充电机非电气连接的各带电回路之间、各独立带电回路与地（金属外壳）之间绝缘电阻不应小于10MΩ。</w:t>
      </w:r>
    </w:p>
    <w:p w14:paraId="6F034392">
      <w:pPr>
        <w:ind w:firstLine="480"/>
        <w:rPr>
          <w:rFonts w:hint="eastAsia" w:ascii="仿宋" w:hAnsi="仿宋" w:eastAsia="仿宋" w:cs="仿宋"/>
          <w:sz w:val="24"/>
          <w:szCs w:val="24"/>
        </w:rPr>
      </w:pPr>
      <w:r>
        <w:rPr>
          <w:rFonts w:hint="eastAsia" w:ascii="仿宋" w:hAnsi="仿宋" w:eastAsia="仿宋" w:cs="仿宋"/>
          <w:sz w:val="24"/>
          <w:szCs w:val="24"/>
        </w:rPr>
        <w:t>2.5.2工频耐压</w:t>
      </w:r>
    </w:p>
    <w:p w14:paraId="6CCA53E8">
      <w:pPr>
        <w:ind w:firstLine="480"/>
        <w:rPr>
          <w:rFonts w:hint="eastAsia" w:ascii="仿宋" w:hAnsi="仿宋" w:eastAsia="仿宋" w:cs="仿宋"/>
          <w:sz w:val="24"/>
          <w:szCs w:val="24"/>
        </w:rPr>
      </w:pPr>
      <w:r>
        <w:rPr>
          <w:rFonts w:hint="eastAsia" w:ascii="仿宋" w:hAnsi="仿宋" w:eastAsia="仿宋" w:cs="仿宋"/>
          <w:sz w:val="24"/>
          <w:szCs w:val="24"/>
        </w:rPr>
        <w:t>充电机非电气连接的各带电回路之间、各独立带电回路与地（金属外壳）之间，按其工作电压应能承受下表所规定历时1min的工频耐压试验（也可采用直流电压，试验电压为交流电压有效值的1.4倍）。试验过程中应无绝缘击穿和闪络现象。</w:t>
      </w:r>
    </w:p>
    <w:p w14:paraId="23D90972">
      <w:pPr>
        <w:ind w:firstLine="480"/>
        <w:rPr>
          <w:rFonts w:hint="eastAsia" w:ascii="仿宋" w:hAnsi="仿宋" w:eastAsia="仿宋" w:cs="仿宋"/>
          <w:sz w:val="24"/>
          <w:szCs w:val="24"/>
        </w:rPr>
      </w:pPr>
      <w:r>
        <w:rPr>
          <w:rFonts w:hint="eastAsia" w:ascii="仿宋" w:hAnsi="仿宋" w:eastAsia="仿宋" w:cs="仿宋"/>
          <w:sz w:val="24"/>
          <w:szCs w:val="24"/>
        </w:rPr>
        <w:t>2.5.3冲击电压</w:t>
      </w:r>
    </w:p>
    <w:p w14:paraId="19BAAFEC">
      <w:pPr>
        <w:ind w:firstLine="480"/>
        <w:rPr>
          <w:rFonts w:hint="eastAsia" w:ascii="仿宋" w:hAnsi="仿宋" w:eastAsia="仿宋" w:cs="仿宋"/>
          <w:sz w:val="24"/>
          <w:szCs w:val="24"/>
        </w:rPr>
      </w:pPr>
      <w:r>
        <w:rPr>
          <w:rFonts w:hint="eastAsia" w:ascii="仿宋" w:hAnsi="仿宋" w:eastAsia="仿宋" w:cs="仿宋"/>
          <w:sz w:val="24"/>
          <w:szCs w:val="24"/>
        </w:rPr>
        <w:t>充电机各带电回路、各带电电路对地（金属外壳）之间，按其工作电压应能承受下表所规定标准雷电波的短时冲击电压试验。试验过程中应无击穿放电。</w:t>
      </w:r>
    </w:p>
    <w:p w14:paraId="034C073A">
      <w:pPr>
        <w:ind w:firstLine="420"/>
        <w:jc w:val="center"/>
        <w:rPr>
          <w:rFonts w:hint="eastAsia" w:ascii="仿宋" w:hAnsi="仿宋" w:eastAsia="仿宋" w:cs="仿宋"/>
          <w:sz w:val="21"/>
          <w:szCs w:val="21"/>
        </w:rPr>
      </w:pPr>
      <w:r>
        <w:rPr>
          <w:rFonts w:hint="eastAsia" w:ascii="仿宋" w:hAnsi="仿宋" w:eastAsia="仿宋" w:cs="仿宋"/>
          <w:sz w:val="21"/>
          <w:szCs w:val="21"/>
        </w:rPr>
        <w:t>绝缘试验的试验等级</w:t>
      </w:r>
    </w:p>
    <w:tbl>
      <w:tblPr>
        <w:tblStyle w:val="6"/>
        <w:tblW w:w="8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876"/>
        <w:gridCol w:w="3007"/>
        <w:gridCol w:w="2157"/>
        <w:gridCol w:w="1956"/>
      </w:tblGrid>
      <w:tr w14:paraId="0BB1E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91" w:hRule="atLeast"/>
        </w:trPr>
        <w:tc>
          <w:tcPr>
            <w:tcW w:w="1876" w:type="dxa"/>
            <w:tcBorders>
              <w:top w:val="single" w:color="auto" w:sz="4" w:space="0"/>
              <w:left w:val="single" w:color="auto" w:sz="4" w:space="0"/>
              <w:bottom w:val="single" w:color="auto" w:sz="4" w:space="0"/>
              <w:right w:val="single" w:color="auto" w:sz="4" w:space="0"/>
            </w:tcBorders>
            <w:vAlign w:val="center"/>
          </w:tcPr>
          <w:p w14:paraId="5F0514CF">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额定绝缘电压Ui（V）</w:t>
            </w:r>
          </w:p>
        </w:tc>
        <w:tc>
          <w:tcPr>
            <w:tcW w:w="3007" w:type="dxa"/>
            <w:tcBorders>
              <w:top w:val="single" w:color="auto" w:sz="4" w:space="0"/>
              <w:left w:val="single" w:color="auto" w:sz="4" w:space="0"/>
              <w:bottom w:val="single" w:color="auto" w:sz="4" w:space="0"/>
              <w:right w:val="single" w:color="auto" w:sz="4" w:space="0"/>
            </w:tcBorders>
            <w:vAlign w:val="center"/>
          </w:tcPr>
          <w:p w14:paraId="65E97282">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绝缘电阻测试仪器的电压等级（V）</w:t>
            </w:r>
          </w:p>
        </w:tc>
        <w:tc>
          <w:tcPr>
            <w:tcW w:w="2157" w:type="dxa"/>
            <w:tcBorders>
              <w:top w:val="single" w:color="auto" w:sz="4" w:space="0"/>
              <w:left w:val="single" w:color="auto" w:sz="4" w:space="0"/>
              <w:bottom w:val="single" w:color="auto" w:sz="4" w:space="0"/>
              <w:right w:val="single" w:color="auto" w:sz="4" w:space="0"/>
            </w:tcBorders>
            <w:vAlign w:val="center"/>
          </w:tcPr>
          <w:p w14:paraId="1609984E">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工频耐压试验电压（kV）</w:t>
            </w:r>
          </w:p>
        </w:tc>
        <w:tc>
          <w:tcPr>
            <w:tcW w:w="1956" w:type="dxa"/>
            <w:tcBorders>
              <w:top w:val="single" w:color="auto" w:sz="4" w:space="0"/>
              <w:left w:val="single" w:color="auto" w:sz="4" w:space="0"/>
              <w:bottom w:val="single" w:color="auto" w:sz="4" w:space="0"/>
              <w:right w:val="single" w:color="auto" w:sz="4" w:space="0"/>
            </w:tcBorders>
            <w:vAlign w:val="center"/>
          </w:tcPr>
          <w:p w14:paraId="38AB06A9">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冲击耐压试验电压（kV）</w:t>
            </w:r>
          </w:p>
        </w:tc>
      </w:tr>
      <w:tr w14:paraId="06F82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876" w:type="dxa"/>
            <w:tcBorders>
              <w:top w:val="single" w:color="auto" w:sz="4" w:space="0"/>
              <w:left w:val="single" w:color="auto" w:sz="4" w:space="0"/>
              <w:bottom w:val="single" w:color="auto" w:sz="4" w:space="0"/>
              <w:right w:val="single" w:color="auto" w:sz="4" w:space="0"/>
            </w:tcBorders>
            <w:vAlign w:val="center"/>
          </w:tcPr>
          <w:p w14:paraId="0A7FDE14">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≤60</w:t>
            </w:r>
          </w:p>
        </w:tc>
        <w:tc>
          <w:tcPr>
            <w:tcW w:w="3007" w:type="dxa"/>
            <w:tcBorders>
              <w:top w:val="single" w:color="auto" w:sz="4" w:space="0"/>
              <w:left w:val="single" w:color="auto" w:sz="4" w:space="0"/>
              <w:bottom w:val="single" w:color="auto" w:sz="4" w:space="0"/>
              <w:right w:val="single" w:color="auto" w:sz="4" w:space="0"/>
            </w:tcBorders>
            <w:vAlign w:val="center"/>
          </w:tcPr>
          <w:p w14:paraId="772A8C02">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250</w:t>
            </w:r>
          </w:p>
        </w:tc>
        <w:tc>
          <w:tcPr>
            <w:tcW w:w="2157" w:type="dxa"/>
            <w:tcBorders>
              <w:top w:val="single" w:color="auto" w:sz="4" w:space="0"/>
              <w:left w:val="single" w:color="auto" w:sz="4" w:space="0"/>
              <w:bottom w:val="single" w:color="auto" w:sz="4" w:space="0"/>
              <w:right w:val="single" w:color="auto" w:sz="4" w:space="0"/>
            </w:tcBorders>
            <w:vAlign w:val="center"/>
          </w:tcPr>
          <w:p w14:paraId="151BCC3B">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1.0(1.4)</w:t>
            </w:r>
          </w:p>
        </w:tc>
        <w:tc>
          <w:tcPr>
            <w:tcW w:w="1956" w:type="dxa"/>
            <w:tcBorders>
              <w:top w:val="single" w:color="auto" w:sz="4" w:space="0"/>
              <w:left w:val="single" w:color="auto" w:sz="4" w:space="0"/>
              <w:bottom w:val="single" w:color="auto" w:sz="4" w:space="0"/>
              <w:right w:val="single" w:color="auto" w:sz="4" w:space="0"/>
            </w:tcBorders>
            <w:vAlign w:val="center"/>
          </w:tcPr>
          <w:p w14:paraId="48432899">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1</w:t>
            </w:r>
          </w:p>
        </w:tc>
      </w:tr>
      <w:tr w14:paraId="34A2B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6" w:type="dxa"/>
            <w:tcBorders>
              <w:top w:val="single" w:color="auto" w:sz="4" w:space="0"/>
              <w:left w:val="single" w:color="auto" w:sz="4" w:space="0"/>
              <w:bottom w:val="single" w:color="auto" w:sz="4" w:space="0"/>
              <w:right w:val="single" w:color="auto" w:sz="4" w:space="0"/>
            </w:tcBorders>
            <w:vAlign w:val="center"/>
          </w:tcPr>
          <w:p w14:paraId="68CCD407">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60＜UI≤300</w:t>
            </w:r>
          </w:p>
        </w:tc>
        <w:tc>
          <w:tcPr>
            <w:tcW w:w="3007" w:type="dxa"/>
            <w:tcBorders>
              <w:top w:val="single" w:color="auto" w:sz="4" w:space="0"/>
              <w:left w:val="single" w:color="auto" w:sz="4" w:space="0"/>
              <w:bottom w:val="single" w:color="auto" w:sz="4" w:space="0"/>
              <w:right w:val="single" w:color="auto" w:sz="4" w:space="0"/>
            </w:tcBorders>
            <w:vAlign w:val="center"/>
          </w:tcPr>
          <w:p w14:paraId="3ED06786">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500</w:t>
            </w:r>
          </w:p>
        </w:tc>
        <w:tc>
          <w:tcPr>
            <w:tcW w:w="2157" w:type="dxa"/>
            <w:tcBorders>
              <w:top w:val="single" w:color="auto" w:sz="4" w:space="0"/>
              <w:left w:val="single" w:color="auto" w:sz="4" w:space="0"/>
              <w:bottom w:val="single" w:color="auto" w:sz="4" w:space="0"/>
              <w:right w:val="single" w:color="auto" w:sz="4" w:space="0"/>
            </w:tcBorders>
            <w:vAlign w:val="center"/>
          </w:tcPr>
          <w:p w14:paraId="4C51057F">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2.0(2.8)</w:t>
            </w:r>
          </w:p>
        </w:tc>
        <w:tc>
          <w:tcPr>
            <w:tcW w:w="1956" w:type="dxa"/>
            <w:tcBorders>
              <w:top w:val="single" w:color="auto" w:sz="4" w:space="0"/>
              <w:left w:val="single" w:color="auto" w:sz="4" w:space="0"/>
              <w:bottom w:val="single" w:color="auto" w:sz="4" w:space="0"/>
              <w:right w:val="single" w:color="auto" w:sz="4" w:space="0"/>
            </w:tcBorders>
            <w:vAlign w:val="center"/>
          </w:tcPr>
          <w:p w14:paraId="0F0EBE06">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±2.5</w:t>
            </w:r>
          </w:p>
        </w:tc>
      </w:tr>
      <w:tr w14:paraId="6AF59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6" w:type="dxa"/>
            <w:tcBorders>
              <w:top w:val="single" w:color="auto" w:sz="4" w:space="0"/>
              <w:left w:val="single" w:color="auto" w:sz="4" w:space="0"/>
              <w:bottom w:val="single" w:color="auto" w:sz="4" w:space="0"/>
              <w:right w:val="single" w:color="auto" w:sz="4" w:space="0"/>
            </w:tcBorders>
            <w:vAlign w:val="center"/>
          </w:tcPr>
          <w:p w14:paraId="6B5705FF">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300＜UI≤700</w:t>
            </w:r>
          </w:p>
        </w:tc>
        <w:tc>
          <w:tcPr>
            <w:tcW w:w="3007" w:type="dxa"/>
            <w:tcBorders>
              <w:top w:val="single" w:color="auto" w:sz="4" w:space="0"/>
              <w:left w:val="single" w:color="auto" w:sz="4" w:space="0"/>
              <w:bottom w:val="single" w:color="auto" w:sz="4" w:space="0"/>
              <w:right w:val="single" w:color="auto" w:sz="4" w:space="0"/>
            </w:tcBorders>
            <w:vAlign w:val="center"/>
          </w:tcPr>
          <w:p w14:paraId="66E80F33">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1000</w:t>
            </w:r>
          </w:p>
        </w:tc>
        <w:tc>
          <w:tcPr>
            <w:tcW w:w="2157" w:type="dxa"/>
            <w:tcBorders>
              <w:top w:val="single" w:color="auto" w:sz="4" w:space="0"/>
              <w:left w:val="single" w:color="auto" w:sz="4" w:space="0"/>
              <w:bottom w:val="single" w:color="auto" w:sz="4" w:space="0"/>
              <w:right w:val="single" w:color="auto" w:sz="4" w:space="0"/>
            </w:tcBorders>
            <w:vAlign w:val="center"/>
          </w:tcPr>
          <w:p w14:paraId="2E779C74">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2.4(3.36)</w:t>
            </w:r>
          </w:p>
        </w:tc>
        <w:tc>
          <w:tcPr>
            <w:tcW w:w="1956" w:type="dxa"/>
            <w:tcBorders>
              <w:top w:val="single" w:color="auto" w:sz="4" w:space="0"/>
              <w:left w:val="single" w:color="auto" w:sz="4" w:space="0"/>
              <w:bottom w:val="single" w:color="auto" w:sz="4" w:space="0"/>
              <w:right w:val="single" w:color="auto" w:sz="4" w:space="0"/>
            </w:tcBorders>
            <w:vAlign w:val="center"/>
          </w:tcPr>
          <w:p w14:paraId="58264D28">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±6</w:t>
            </w:r>
          </w:p>
        </w:tc>
      </w:tr>
      <w:tr w14:paraId="37056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6" w:type="dxa"/>
            <w:tcBorders>
              <w:top w:val="single" w:color="auto" w:sz="4" w:space="0"/>
              <w:left w:val="single" w:color="auto" w:sz="4" w:space="0"/>
              <w:bottom w:val="single" w:color="auto" w:sz="4" w:space="0"/>
              <w:right w:val="single" w:color="auto" w:sz="4" w:space="0"/>
            </w:tcBorders>
            <w:vAlign w:val="center"/>
          </w:tcPr>
          <w:p w14:paraId="44BA5934">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700＜UI≤950</w:t>
            </w:r>
          </w:p>
        </w:tc>
        <w:tc>
          <w:tcPr>
            <w:tcW w:w="3007" w:type="dxa"/>
            <w:tcBorders>
              <w:top w:val="single" w:color="auto" w:sz="4" w:space="0"/>
              <w:left w:val="single" w:color="auto" w:sz="4" w:space="0"/>
              <w:bottom w:val="single" w:color="auto" w:sz="4" w:space="0"/>
              <w:right w:val="single" w:color="auto" w:sz="4" w:space="0"/>
            </w:tcBorders>
            <w:vAlign w:val="center"/>
          </w:tcPr>
          <w:p w14:paraId="07BF47E0">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1000</w:t>
            </w:r>
          </w:p>
        </w:tc>
        <w:tc>
          <w:tcPr>
            <w:tcW w:w="2157" w:type="dxa"/>
            <w:tcBorders>
              <w:top w:val="single" w:color="auto" w:sz="4" w:space="0"/>
              <w:left w:val="single" w:color="auto" w:sz="4" w:space="0"/>
              <w:bottom w:val="single" w:color="auto" w:sz="4" w:space="0"/>
              <w:right w:val="single" w:color="auto" w:sz="4" w:space="0"/>
            </w:tcBorders>
            <w:vAlign w:val="center"/>
          </w:tcPr>
          <w:p w14:paraId="4B93643A">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2×UI+1.0</w:t>
            </w:r>
          </w:p>
          <w:p w14:paraId="3477BC37">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(2.8×UI+1.4)</w:t>
            </w:r>
          </w:p>
        </w:tc>
        <w:tc>
          <w:tcPr>
            <w:tcW w:w="1956" w:type="dxa"/>
            <w:tcBorders>
              <w:top w:val="single" w:color="auto" w:sz="4" w:space="0"/>
              <w:left w:val="single" w:color="auto" w:sz="4" w:space="0"/>
              <w:bottom w:val="single" w:color="auto" w:sz="4" w:space="0"/>
              <w:right w:val="single" w:color="auto" w:sz="4" w:space="0"/>
            </w:tcBorders>
            <w:vAlign w:val="center"/>
          </w:tcPr>
          <w:p w14:paraId="08949659">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±6</w:t>
            </w:r>
          </w:p>
        </w:tc>
      </w:tr>
      <w:tr w14:paraId="57225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55" w:hRule="atLeast"/>
        </w:trPr>
        <w:tc>
          <w:tcPr>
            <w:tcW w:w="8996" w:type="dxa"/>
            <w:gridSpan w:val="4"/>
            <w:tcBorders>
              <w:top w:val="single" w:color="auto" w:sz="4" w:space="0"/>
              <w:left w:val="single" w:color="auto" w:sz="4" w:space="0"/>
              <w:bottom w:val="single" w:color="auto" w:sz="4" w:space="0"/>
              <w:right w:val="single" w:color="auto" w:sz="4" w:space="0"/>
            </w:tcBorders>
            <w:vAlign w:val="center"/>
          </w:tcPr>
          <w:p w14:paraId="3522C249">
            <w:pPr>
              <w:ind w:firstLine="0" w:firstLineChars="0"/>
              <w:rPr>
                <w:rFonts w:hint="eastAsia" w:ascii="仿宋" w:hAnsi="仿宋" w:eastAsia="仿宋" w:cs="仿宋"/>
                <w:sz w:val="21"/>
                <w:szCs w:val="21"/>
              </w:rPr>
            </w:pPr>
            <w:r>
              <w:rPr>
                <w:rFonts w:hint="eastAsia" w:ascii="仿宋" w:hAnsi="仿宋" w:eastAsia="仿宋" w:cs="仿宋"/>
                <w:sz w:val="21"/>
                <w:szCs w:val="21"/>
              </w:rPr>
              <w:t>注1：括号内数据为直流介质强度试验值。</w:t>
            </w:r>
          </w:p>
          <w:p w14:paraId="644525BB">
            <w:pPr>
              <w:ind w:firstLine="0" w:firstLineChars="0"/>
              <w:rPr>
                <w:rFonts w:hint="eastAsia" w:ascii="仿宋" w:hAnsi="仿宋" w:eastAsia="仿宋" w:cs="仿宋"/>
                <w:sz w:val="21"/>
                <w:szCs w:val="21"/>
              </w:rPr>
            </w:pPr>
            <w:r>
              <w:rPr>
                <w:rFonts w:hint="eastAsia" w:ascii="仿宋" w:hAnsi="仿宋" w:eastAsia="仿宋" w:cs="仿宋"/>
                <w:sz w:val="21"/>
                <w:szCs w:val="21"/>
              </w:rPr>
              <w:t>注2：出厂试验时，介电强度试验允许试验电压高于表中规定值的10%，试验时间1s。</w:t>
            </w:r>
          </w:p>
        </w:tc>
      </w:tr>
    </w:tbl>
    <w:p w14:paraId="22F7CC09">
      <w:pPr>
        <w:ind w:left="0" w:leftChars="0" w:firstLine="0" w:firstLineChars="0"/>
        <w:rPr>
          <w:rFonts w:hint="eastAsia" w:ascii="仿宋" w:hAnsi="仿宋" w:eastAsia="仿宋" w:cs="仿宋"/>
          <w:sz w:val="24"/>
          <w:szCs w:val="24"/>
        </w:rPr>
      </w:pPr>
      <w:r>
        <w:rPr>
          <w:rFonts w:hint="eastAsia" w:ascii="仿宋" w:hAnsi="仿宋" w:eastAsia="仿宋" w:cs="仿宋"/>
          <w:sz w:val="24"/>
          <w:szCs w:val="24"/>
          <w:lang w:val="en-US" w:eastAsia="zh-CN"/>
        </w:rPr>
        <w:t>2.6</w:t>
      </w:r>
      <w:r>
        <w:rPr>
          <w:rFonts w:hint="eastAsia" w:ascii="仿宋" w:hAnsi="仿宋" w:eastAsia="仿宋" w:cs="仿宋"/>
          <w:sz w:val="24"/>
          <w:szCs w:val="24"/>
        </w:rPr>
        <w:t>安全要求</w:t>
      </w:r>
    </w:p>
    <w:p w14:paraId="0DD4BEB4">
      <w:pPr>
        <w:ind w:firstLine="480"/>
        <w:rPr>
          <w:rFonts w:hint="eastAsia" w:ascii="仿宋" w:hAnsi="仿宋" w:eastAsia="仿宋" w:cs="仿宋"/>
          <w:sz w:val="24"/>
          <w:szCs w:val="24"/>
        </w:rPr>
      </w:pPr>
      <w:r>
        <w:rPr>
          <w:rFonts w:hint="eastAsia" w:ascii="仿宋" w:hAnsi="仿宋" w:eastAsia="仿宋" w:cs="仿宋"/>
          <w:sz w:val="24"/>
          <w:szCs w:val="24"/>
        </w:rPr>
        <w:t>充电机的安全性要求应满足GB/T18487.1-2015附录B中对应的描述及技术参数要求。</w:t>
      </w:r>
    </w:p>
    <w:p w14:paraId="54945C92">
      <w:pPr>
        <w:ind w:firstLine="480"/>
        <w:rPr>
          <w:rFonts w:hint="eastAsia" w:ascii="仿宋" w:hAnsi="仿宋" w:eastAsia="仿宋" w:cs="仿宋"/>
          <w:sz w:val="24"/>
          <w:szCs w:val="24"/>
        </w:rPr>
      </w:pPr>
      <w:r>
        <w:rPr>
          <w:rFonts w:hint="eastAsia" w:ascii="仿宋" w:hAnsi="仿宋" w:eastAsia="仿宋" w:cs="仿宋"/>
          <w:sz w:val="24"/>
          <w:szCs w:val="24"/>
        </w:rPr>
        <w:t>（1）充电机应具备电源输入侧的过压保护和欠压保护。</w:t>
      </w:r>
    </w:p>
    <w:p w14:paraId="7D0DF88D">
      <w:pPr>
        <w:ind w:firstLine="480"/>
        <w:rPr>
          <w:rFonts w:hint="eastAsia" w:ascii="仿宋" w:hAnsi="仿宋" w:eastAsia="仿宋" w:cs="仿宋"/>
          <w:sz w:val="24"/>
          <w:szCs w:val="24"/>
        </w:rPr>
      </w:pPr>
      <w:r>
        <w:rPr>
          <w:rFonts w:hint="eastAsia" w:ascii="仿宋" w:hAnsi="仿宋" w:eastAsia="仿宋" w:cs="仿宋"/>
          <w:sz w:val="24"/>
          <w:szCs w:val="24"/>
        </w:rPr>
        <w:t>（2）充电机应具备输出过压保护。</w:t>
      </w:r>
    </w:p>
    <w:p w14:paraId="49084EF0">
      <w:pPr>
        <w:ind w:firstLine="480"/>
        <w:rPr>
          <w:rFonts w:hint="eastAsia" w:ascii="仿宋" w:hAnsi="仿宋" w:eastAsia="仿宋" w:cs="仿宋"/>
          <w:sz w:val="24"/>
          <w:szCs w:val="24"/>
        </w:rPr>
      </w:pPr>
      <w:r>
        <w:rPr>
          <w:rFonts w:hint="eastAsia" w:ascii="仿宋" w:hAnsi="仿宋" w:eastAsia="仿宋" w:cs="仿宋"/>
          <w:sz w:val="24"/>
          <w:szCs w:val="24"/>
        </w:rPr>
        <w:t>（3）充电机应具备输出过电流和短路保护。</w:t>
      </w:r>
    </w:p>
    <w:p w14:paraId="3F17680B">
      <w:pPr>
        <w:ind w:firstLine="480"/>
        <w:rPr>
          <w:rFonts w:hint="eastAsia" w:ascii="仿宋" w:hAnsi="仿宋" w:eastAsia="仿宋" w:cs="仿宋"/>
          <w:sz w:val="24"/>
          <w:szCs w:val="24"/>
        </w:rPr>
      </w:pPr>
      <w:r>
        <w:rPr>
          <w:rFonts w:hint="eastAsia" w:ascii="仿宋" w:hAnsi="仿宋" w:eastAsia="仿宋" w:cs="仿宋"/>
          <w:sz w:val="24"/>
          <w:szCs w:val="24"/>
        </w:rPr>
        <w:t>（4）充电机应具备内部过温保护，当内部温度达到保护值时，采取降功率或停止输出。需具备超温断电功能，当温度过高时，可自动切断充电，防止发生高温自燃等意外，保护充电设备及新能源汽车安全。</w:t>
      </w:r>
    </w:p>
    <w:p w14:paraId="162F9D87">
      <w:pPr>
        <w:ind w:firstLine="480"/>
        <w:rPr>
          <w:rFonts w:hint="eastAsia" w:ascii="仿宋" w:hAnsi="仿宋" w:eastAsia="仿宋" w:cs="仿宋"/>
          <w:sz w:val="24"/>
          <w:szCs w:val="24"/>
        </w:rPr>
      </w:pPr>
      <w:r>
        <w:rPr>
          <w:rFonts w:hint="eastAsia" w:ascii="仿宋" w:hAnsi="仿宋" w:eastAsia="仿宋" w:cs="仿宋"/>
          <w:sz w:val="24"/>
          <w:szCs w:val="24"/>
        </w:rPr>
        <w:t>（5）充电机的绝缘检测功能应与车辆绝缘检测功能相配合。</w:t>
      </w:r>
    </w:p>
    <w:p w14:paraId="3AA47020">
      <w:pPr>
        <w:ind w:firstLine="480"/>
        <w:rPr>
          <w:rFonts w:hint="eastAsia" w:ascii="仿宋" w:hAnsi="仿宋" w:eastAsia="仿宋" w:cs="仿宋"/>
          <w:sz w:val="24"/>
          <w:szCs w:val="24"/>
        </w:rPr>
      </w:pPr>
      <w:r>
        <w:rPr>
          <w:rFonts w:hint="eastAsia" w:ascii="仿宋" w:hAnsi="仿宋" w:eastAsia="仿宋" w:cs="仿宋"/>
          <w:sz w:val="24"/>
          <w:szCs w:val="24"/>
        </w:rPr>
        <w:t>（6）充电过程中当发生下列情况时，充电机应能在100ms内断开直流输出接触器，且直流输出电压应在1s内下降至60V以下。</w:t>
      </w:r>
    </w:p>
    <w:p w14:paraId="01070AB8">
      <w:pPr>
        <w:ind w:firstLine="960" w:firstLineChars="400"/>
        <w:rPr>
          <w:rFonts w:hint="eastAsia" w:ascii="仿宋" w:hAnsi="仿宋" w:eastAsia="仿宋" w:cs="仿宋"/>
          <w:sz w:val="24"/>
          <w:szCs w:val="24"/>
        </w:rPr>
      </w:pPr>
      <w:r>
        <w:rPr>
          <w:rFonts w:hint="eastAsia" w:ascii="仿宋" w:hAnsi="仿宋" w:eastAsia="仿宋" w:cs="仿宋"/>
          <w:sz w:val="24"/>
          <w:szCs w:val="24"/>
        </w:rPr>
        <w:t>a）启动急停开关；</w:t>
      </w:r>
    </w:p>
    <w:p w14:paraId="6C45149F">
      <w:pPr>
        <w:ind w:firstLine="960" w:firstLineChars="400"/>
        <w:rPr>
          <w:rFonts w:hint="eastAsia" w:ascii="仿宋" w:hAnsi="仿宋" w:eastAsia="仿宋" w:cs="仿宋"/>
          <w:sz w:val="24"/>
          <w:szCs w:val="24"/>
        </w:rPr>
      </w:pPr>
      <w:r>
        <w:rPr>
          <w:rFonts w:hint="eastAsia" w:ascii="仿宋" w:hAnsi="仿宋" w:eastAsia="仿宋" w:cs="仿宋"/>
          <w:sz w:val="24"/>
          <w:szCs w:val="24"/>
        </w:rPr>
        <w:t>b）控制导引故障；</w:t>
      </w:r>
    </w:p>
    <w:p w14:paraId="70A6E486">
      <w:pPr>
        <w:ind w:firstLine="960" w:firstLineChars="400"/>
        <w:rPr>
          <w:rFonts w:hint="eastAsia" w:ascii="仿宋" w:hAnsi="仿宋" w:eastAsia="仿宋" w:cs="仿宋"/>
          <w:sz w:val="24"/>
          <w:szCs w:val="24"/>
        </w:rPr>
      </w:pPr>
      <w:r>
        <w:rPr>
          <w:rFonts w:hint="eastAsia" w:ascii="仿宋" w:hAnsi="仿宋" w:eastAsia="仿宋" w:cs="仿宋"/>
          <w:sz w:val="24"/>
          <w:szCs w:val="24"/>
        </w:rPr>
        <w:t>c）保护接地线断开。</w:t>
      </w:r>
    </w:p>
    <w:p w14:paraId="2861A25E">
      <w:pPr>
        <w:ind w:firstLine="480"/>
        <w:rPr>
          <w:rFonts w:hint="eastAsia" w:ascii="仿宋" w:hAnsi="仿宋" w:eastAsia="仿宋" w:cs="仿宋"/>
          <w:sz w:val="24"/>
          <w:szCs w:val="24"/>
        </w:rPr>
      </w:pPr>
      <w:r>
        <w:rPr>
          <w:rFonts w:hint="eastAsia" w:ascii="仿宋" w:hAnsi="仿宋" w:eastAsia="仿宋" w:cs="仿宋"/>
          <w:sz w:val="24"/>
          <w:szCs w:val="24"/>
        </w:rPr>
        <w:t>（7）充电机在启动充电时应人工确认启动。</w:t>
      </w:r>
    </w:p>
    <w:p w14:paraId="7CAAE203">
      <w:pPr>
        <w:ind w:firstLine="480"/>
        <w:rPr>
          <w:rFonts w:hint="eastAsia" w:ascii="仿宋" w:hAnsi="仿宋" w:eastAsia="仿宋" w:cs="仿宋"/>
          <w:sz w:val="24"/>
          <w:szCs w:val="24"/>
        </w:rPr>
      </w:pPr>
      <w:r>
        <w:rPr>
          <w:rFonts w:hint="eastAsia" w:ascii="仿宋" w:hAnsi="仿宋" w:eastAsia="仿宋" w:cs="仿宋"/>
          <w:sz w:val="24"/>
          <w:szCs w:val="24"/>
        </w:rPr>
        <w:t>（8）充电机应具备限制冲击电流功能，冲击电流不应超过额定输入电流的110%。</w:t>
      </w:r>
    </w:p>
    <w:p w14:paraId="5158FE1B">
      <w:pPr>
        <w:ind w:firstLine="480"/>
        <w:rPr>
          <w:rFonts w:hint="eastAsia" w:ascii="仿宋" w:hAnsi="仿宋" w:eastAsia="仿宋" w:cs="仿宋"/>
          <w:sz w:val="24"/>
          <w:szCs w:val="24"/>
        </w:rPr>
      </w:pPr>
      <w:r>
        <w:rPr>
          <w:rFonts w:hint="eastAsia" w:ascii="仿宋" w:hAnsi="仿宋" w:eastAsia="仿宋" w:cs="仿宋"/>
          <w:sz w:val="24"/>
          <w:szCs w:val="24"/>
        </w:rPr>
        <w:t>（9）充电机应具备电池反接保护功能。</w:t>
      </w:r>
    </w:p>
    <w:p w14:paraId="34CC2C51">
      <w:pPr>
        <w:ind w:firstLine="480"/>
        <w:rPr>
          <w:rFonts w:hint="eastAsia" w:ascii="仿宋" w:hAnsi="仿宋" w:eastAsia="仿宋" w:cs="仿宋"/>
          <w:sz w:val="24"/>
          <w:szCs w:val="24"/>
        </w:rPr>
      </w:pPr>
      <w:r>
        <w:rPr>
          <w:rFonts w:hint="eastAsia" w:ascii="仿宋" w:hAnsi="仿宋" w:eastAsia="仿宋" w:cs="仿宋"/>
          <w:sz w:val="24"/>
          <w:szCs w:val="24"/>
        </w:rPr>
        <w:t>（10）充电机在自动充电前，应具有电池电压检测功能。</w:t>
      </w:r>
    </w:p>
    <w:p w14:paraId="0E4EC3EC">
      <w:pPr>
        <w:ind w:firstLine="480"/>
        <w:rPr>
          <w:rFonts w:hint="eastAsia" w:ascii="仿宋" w:hAnsi="仿宋" w:eastAsia="仿宋" w:cs="仿宋"/>
          <w:sz w:val="24"/>
          <w:szCs w:val="24"/>
        </w:rPr>
      </w:pPr>
      <w:r>
        <w:rPr>
          <w:rFonts w:hint="eastAsia" w:ascii="仿宋" w:hAnsi="仿宋" w:eastAsia="仿宋" w:cs="仿宋"/>
          <w:sz w:val="24"/>
          <w:szCs w:val="24"/>
        </w:rPr>
        <w:t>（11）充电机在充电过程中应具有防止充电连接器意外脱落的锁止装置，直流充电时，车辆接口应具有锁止功能，该锁止功能应符合GB/T20234.1的相关要求。车辆插头端应安装机械锁止装置，供电设备应能判断机械锁是否可靠锁止。车辆插头应安装电子锁止装置，电子锁处于锁止位置时，机械锁应无法操作，供电设备应能判断电子锁是否可靠锁止。当机械锁或电子锁未可靠锁止时，供电设备应停止充电或不启动充电。直流充电车辆接口锁止装置工作示例参见GB/T18487.1-2015附录C。</w:t>
      </w:r>
    </w:p>
    <w:p w14:paraId="3D7A39DB">
      <w:pPr>
        <w:ind w:firstLine="480"/>
        <w:rPr>
          <w:rFonts w:hint="eastAsia" w:ascii="仿宋" w:hAnsi="仿宋" w:eastAsia="仿宋" w:cs="仿宋"/>
          <w:sz w:val="24"/>
          <w:szCs w:val="24"/>
        </w:rPr>
      </w:pPr>
      <w:r>
        <w:rPr>
          <w:rFonts w:hint="eastAsia" w:ascii="仿宋" w:hAnsi="仿宋" w:eastAsia="仿宋" w:cs="仿宋"/>
          <w:sz w:val="24"/>
          <w:szCs w:val="24"/>
        </w:rPr>
        <w:t>（12）充电机应具备防止电池电流倒灌功能。</w:t>
      </w:r>
    </w:p>
    <w:p w14:paraId="419F8E0E">
      <w:pPr>
        <w:ind w:firstLine="480"/>
        <w:rPr>
          <w:rFonts w:hint="eastAsia" w:ascii="仿宋" w:hAnsi="仿宋" w:eastAsia="仿宋" w:cs="仿宋"/>
          <w:sz w:val="24"/>
          <w:szCs w:val="24"/>
        </w:rPr>
      </w:pPr>
      <w:r>
        <w:rPr>
          <w:rFonts w:hint="eastAsia" w:ascii="仿宋" w:hAnsi="仿宋" w:eastAsia="仿宋" w:cs="仿宋"/>
          <w:sz w:val="24"/>
          <w:szCs w:val="24"/>
        </w:rPr>
        <w:t>（13）充电机应具备预充电功能。当充电机检测到电动汽车直流接触器闭合后，充电机应检测电池端电压；充电机检测到电池端电压后需进行预充，将功率模块输出电压升到与电池端电压测量值之差小于10V后，方可闭合充电机输出接触器。</w:t>
      </w:r>
    </w:p>
    <w:p w14:paraId="7919CD81">
      <w:pPr>
        <w:ind w:firstLine="480"/>
        <w:rPr>
          <w:rFonts w:hint="eastAsia" w:ascii="仿宋" w:hAnsi="仿宋" w:eastAsia="仿宋" w:cs="仿宋"/>
          <w:sz w:val="24"/>
          <w:szCs w:val="24"/>
        </w:rPr>
      </w:pPr>
      <w:r>
        <w:rPr>
          <w:rFonts w:hint="eastAsia" w:ascii="仿宋" w:hAnsi="仿宋" w:eastAsia="仿宋" w:cs="仿宋"/>
          <w:sz w:val="24"/>
          <w:szCs w:val="24"/>
        </w:rPr>
        <w:t>（14）充电机在每个充电周期内进行接触器触点烧结检测。当检测到接触器触点出现粘连的情况后，充电机不得继续工作。</w:t>
      </w:r>
    </w:p>
    <w:p w14:paraId="31D87733">
      <w:pPr>
        <w:ind w:firstLine="480"/>
        <w:rPr>
          <w:rFonts w:hint="eastAsia" w:ascii="仿宋" w:hAnsi="仿宋" w:eastAsia="仿宋" w:cs="仿宋"/>
          <w:sz w:val="24"/>
          <w:szCs w:val="24"/>
        </w:rPr>
      </w:pPr>
      <w:r>
        <w:rPr>
          <w:rFonts w:hint="eastAsia" w:ascii="仿宋" w:hAnsi="仿宋" w:eastAsia="仿宋" w:cs="仿宋"/>
          <w:sz w:val="24"/>
          <w:szCs w:val="24"/>
        </w:rPr>
        <w:t>（15）充电机必须保证充电机输出接触器闭合发生在车辆直流充电接触器闭合之后，其时间间隔不得低于500ms。</w:t>
      </w:r>
    </w:p>
    <w:p w14:paraId="71AC7500">
      <w:pPr>
        <w:ind w:firstLine="480"/>
        <w:rPr>
          <w:rFonts w:hint="eastAsia" w:ascii="仿宋" w:hAnsi="仿宋" w:eastAsia="仿宋" w:cs="仿宋"/>
          <w:sz w:val="24"/>
          <w:szCs w:val="24"/>
        </w:rPr>
      </w:pPr>
      <w:r>
        <w:rPr>
          <w:rFonts w:hint="eastAsia" w:ascii="仿宋" w:hAnsi="仿宋" w:eastAsia="仿宋" w:cs="仿宋"/>
          <w:sz w:val="24"/>
          <w:szCs w:val="24"/>
        </w:rPr>
        <w:t>（16）充电机在充电停止状态下，应保证直流输出回路处于断开状态。</w:t>
      </w:r>
    </w:p>
    <w:p w14:paraId="4BBC30C3">
      <w:pPr>
        <w:ind w:left="0" w:leftChars="0" w:firstLine="0" w:firstLineChars="0"/>
        <w:rPr>
          <w:rFonts w:hint="eastAsia" w:ascii="仿宋" w:hAnsi="仿宋" w:eastAsia="仿宋" w:cs="仿宋"/>
          <w:sz w:val="24"/>
          <w:szCs w:val="24"/>
        </w:rPr>
      </w:pPr>
      <w:r>
        <w:rPr>
          <w:rFonts w:hint="eastAsia" w:ascii="仿宋" w:hAnsi="仿宋" w:eastAsia="仿宋" w:cs="仿宋"/>
          <w:sz w:val="24"/>
          <w:szCs w:val="24"/>
          <w:lang w:val="en-US" w:eastAsia="zh-CN"/>
        </w:rPr>
        <w:t>2.7</w:t>
      </w:r>
      <w:r>
        <w:rPr>
          <w:rFonts w:hint="eastAsia" w:ascii="仿宋" w:hAnsi="仿宋" w:eastAsia="仿宋" w:cs="仿宋"/>
          <w:sz w:val="24"/>
          <w:szCs w:val="24"/>
        </w:rPr>
        <w:t>充电机柜体要求</w:t>
      </w:r>
    </w:p>
    <w:p w14:paraId="5F6AC5BE">
      <w:pPr>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w:t>
      </w:r>
      <w:r>
        <w:rPr>
          <w:rFonts w:hint="eastAsia" w:ascii="仿宋" w:hAnsi="仿宋" w:eastAsia="仿宋" w:cs="仿宋"/>
          <w:sz w:val="24"/>
          <w:szCs w:val="24"/>
        </w:rPr>
        <w:t>充电机柜体应外观线条流畅、整体紧凑、简洁时尚，与安装地点周边环境相协调。</w:t>
      </w:r>
    </w:p>
    <w:p w14:paraId="1C1EAC07">
      <w:pPr>
        <w:ind w:firstLine="48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充电机柜体内部线束，应排布整齐、规整，标识清楚，捆扎牢固。</w:t>
      </w:r>
    </w:p>
    <w:p w14:paraId="7231F498">
      <w:pPr>
        <w:ind w:firstLine="48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w:t>
      </w:r>
      <w:r>
        <w:rPr>
          <w:rFonts w:hint="eastAsia" w:ascii="仿宋" w:hAnsi="仿宋" w:eastAsia="仿宋" w:cs="仿宋"/>
          <w:sz w:val="24"/>
          <w:szCs w:val="24"/>
        </w:rPr>
        <w:t>充电机柜体内元器件应布局合理，易耗易损元件方便更换。</w:t>
      </w:r>
    </w:p>
    <w:p w14:paraId="25E88A17">
      <w:pPr>
        <w:ind w:firstLine="48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w:t>
      </w:r>
      <w:r>
        <w:rPr>
          <w:rFonts w:hint="eastAsia" w:ascii="仿宋" w:hAnsi="仿宋" w:eastAsia="仿宋" w:cs="仿宋"/>
          <w:sz w:val="24"/>
          <w:szCs w:val="24"/>
        </w:rPr>
        <w:t>充电机柜体安装于户外时，应便于特殊天气条件下的日常维护。</w:t>
      </w:r>
    </w:p>
    <w:p w14:paraId="3C0B0EF2">
      <w:pPr>
        <w:ind w:firstLine="48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w:t>
      </w:r>
      <w:r>
        <w:rPr>
          <w:rFonts w:hint="eastAsia" w:ascii="仿宋" w:hAnsi="仿宋" w:eastAsia="仿宋" w:cs="仿宋"/>
          <w:sz w:val="24"/>
          <w:szCs w:val="24"/>
        </w:rPr>
        <w:t>充电机柜体应采用抗冲击力强、抗老化的材质。</w:t>
      </w:r>
    </w:p>
    <w:p w14:paraId="6B92E189">
      <w:pPr>
        <w:ind w:firstLine="48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6</w:t>
      </w:r>
      <w:r>
        <w:rPr>
          <w:rFonts w:hint="eastAsia" w:ascii="仿宋" w:hAnsi="仿宋" w:eastAsia="仿宋" w:cs="仿宋"/>
          <w:sz w:val="24"/>
          <w:szCs w:val="24"/>
          <w:lang w:eastAsia="zh-CN"/>
        </w:rPr>
        <w:t>）</w:t>
      </w:r>
      <w:r>
        <w:rPr>
          <w:rFonts w:hint="eastAsia" w:ascii="仿宋" w:hAnsi="仿宋" w:eastAsia="仿宋" w:cs="仿宋"/>
          <w:sz w:val="24"/>
          <w:szCs w:val="24"/>
        </w:rPr>
        <w:t>充电机柜体表面涂覆色泽层应均匀光洁，不起泡、不龟裂、不脱落。</w:t>
      </w:r>
    </w:p>
    <w:p w14:paraId="1E60163D">
      <w:pPr>
        <w:ind w:firstLine="48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7</w:t>
      </w:r>
      <w:r>
        <w:rPr>
          <w:rFonts w:hint="eastAsia" w:ascii="仿宋" w:hAnsi="仿宋" w:eastAsia="仿宋" w:cs="仿宋"/>
          <w:sz w:val="24"/>
          <w:szCs w:val="24"/>
          <w:lang w:eastAsia="zh-CN"/>
        </w:rPr>
        <w:t>）</w:t>
      </w:r>
      <w:r>
        <w:rPr>
          <w:rFonts w:hint="eastAsia" w:ascii="仿宋" w:hAnsi="仿宋" w:eastAsia="仿宋" w:cs="仿宋"/>
          <w:sz w:val="24"/>
          <w:szCs w:val="24"/>
        </w:rPr>
        <w:t>非绝缘材料外壳应可靠接地，结构上应防止操作人员触及带电部件。</w:t>
      </w:r>
    </w:p>
    <w:p w14:paraId="47E29A0D">
      <w:pPr>
        <w:ind w:firstLine="48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8</w:t>
      </w:r>
      <w:r>
        <w:rPr>
          <w:rFonts w:hint="eastAsia" w:ascii="仿宋" w:hAnsi="仿宋" w:eastAsia="仿宋" w:cs="仿宋"/>
          <w:sz w:val="24"/>
          <w:szCs w:val="24"/>
          <w:lang w:eastAsia="zh-CN"/>
        </w:rPr>
        <w:t>）</w:t>
      </w:r>
      <w:r>
        <w:rPr>
          <w:rFonts w:hint="eastAsia" w:ascii="仿宋" w:hAnsi="仿宋" w:eastAsia="仿宋" w:cs="仿宋"/>
          <w:sz w:val="24"/>
          <w:szCs w:val="24"/>
        </w:rPr>
        <w:t>要求充电枪在非充电状态下，整体不带电，拔下充电枪，就地充电装置没有任何电源，插入充电枪、认证信息后通电，无安全隐患。</w:t>
      </w:r>
    </w:p>
    <w:p w14:paraId="6B69EEAE">
      <w:pPr>
        <w:ind w:firstLine="420"/>
        <w:jc w:val="center"/>
        <w:rPr>
          <w:rFonts w:hint="eastAsia" w:ascii="仿宋" w:hAnsi="仿宋" w:eastAsia="仿宋" w:cs="仿宋"/>
          <w:lang w:val="en-US" w:eastAsia="zh-CN"/>
        </w:rPr>
      </w:pPr>
      <w:r>
        <w:rPr>
          <w:rFonts w:hint="eastAsia" w:ascii="仿宋" w:hAnsi="仿宋" w:eastAsia="仿宋" w:cs="仿宋"/>
          <w:sz w:val="21"/>
          <w:szCs w:val="21"/>
          <w:lang w:val="en-US" w:eastAsia="zh-CN"/>
        </w:rPr>
        <w:t>整流柜技术参数</w:t>
      </w:r>
    </w:p>
    <w:tbl>
      <w:tblPr>
        <w:tblStyle w:val="6"/>
        <w:tblW w:w="9148" w:type="dxa"/>
        <w:jc w:val="center"/>
        <w:tblLayout w:type="fixed"/>
        <w:tblCellMar>
          <w:top w:w="0" w:type="dxa"/>
          <w:left w:w="108" w:type="dxa"/>
          <w:bottom w:w="0" w:type="dxa"/>
          <w:right w:w="108" w:type="dxa"/>
        </w:tblCellMar>
      </w:tblPr>
      <w:tblGrid>
        <w:gridCol w:w="772"/>
        <w:gridCol w:w="3015"/>
        <w:gridCol w:w="1382"/>
        <w:gridCol w:w="3979"/>
      </w:tblGrid>
      <w:tr w14:paraId="18F9978B">
        <w:tblPrEx>
          <w:tblCellMar>
            <w:top w:w="0" w:type="dxa"/>
            <w:left w:w="108" w:type="dxa"/>
            <w:bottom w:w="0" w:type="dxa"/>
            <w:right w:w="108" w:type="dxa"/>
          </w:tblCellMar>
        </w:tblPrEx>
        <w:trPr>
          <w:trHeight w:val="450" w:hRule="atLeast"/>
          <w:jc w:val="center"/>
        </w:trPr>
        <w:tc>
          <w:tcPr>
            <w:tcW w:w="772" w:type="dxa"/>
            <w:tcBorders>
              <w:top w:val="single" w:color="auto" w:sz="4" w:space="0"/>
              <w:left w:val="single" w:color="auto" w:sz="4" w:space="0"/>
              <w:bottom w:val="single" w:color="auto" w:sz="4" w:space="0"/>
              <w:right w:val="single" w:color="auto" w:sz="4" w:space="0"/>
            </w:tcBorders>
            <w:vAlign w:val="center"/>
          </w:tcPr>
          <w:p w14:paraId="5C37B9F9">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序号</w:t>
            </w:r>
          </w:p>
        </w:tc>
        <w:tc>
          <w:tcPr>
            <w:tcW w:w="3015" w:type="dxa"/>
            <w:tcBorders>
              <w:top w:val="single" w:color="auto" w:sz="4" w:space="0"/>
              <w:left w:val="nil"/>
              <w:bottom w:val="single" w:color="auto" w:sz="4" w:space="0"/>
              <w:right w:val="single" w:color="auto" w:sz="4" w:space="0"/>
            </w:tcBorders>
            <w:vAlign w:val="center"/>
          </w:tcPr>
          <w:p w14:paraId="6356591D">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类目</w:t>
            </w:r>
          </w:p>
        </w:tc>
        <w:tc>
          <w:tcPr>
            <w:tcW w:w="1382" w:type="dxa"/>
            <w:tcBorders>
              <w:top w:val="single" w:color="auto" w:sz="4" w:space="0"/>
              <w:left w:val="nil"/>
              <w:bottom w:val="single" w:color="auto" w:sz="4" w:space="0"/>
              <w:right w:val="single" w:color="auto" w:sz="4" w:space="0"/>
            </w:tcBorders>
            <w:vAlign w:val="center"/>
          </w:tcPr>
          <w:p w14:paraId="6FE2CD2C">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单位</w:t>
            </w:r>
          </w:p>
        </w:tc>
        <w:tc>
          <w:tcPr>
            <w:tcW w:w="3979" w:type="dxa"/>
            <w:tcBorders>
              <w:top w:val="single" w:color="auto" w:sz="4" w:space="0"/>
              <w:left w:val="nil"/>
              <w:bottom w:val="single" w:color="auto" w:sz="4" w:space="0"/>
              <w:right w:val="single" w:color="auto" w:sz="4" w:space="0"/>
            </w:tcBorders>
            <w:vAlign w:val="center"/>
          </w:tcPr>
          <w:p w14:paraId="4CDB3067">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技术参数要求</w:t>
            </w:r>
          </w:p>
        </w:tc>
      </w:tr>
      <w:tr w14:paraId="01D0C9C2">
        <w:tblPrEx>
          <w:tblCellMar>
            <w:top w:w="0" w:type="dxa"/>
            <w:left w:w="108" w:type="dxa"/>
            <w:bottom w:w="0" w:type="dxa"/>
            <w:right w:w="108" w:type="dxa"/>
          </w:tblCellMar>
        </w:tblPrEx>
        <w:trPr>
          <w:trHeight w:val="450" w:hRule="atLeast"/>
          <w:jc w:val="center"/>
        </w:trPr>
        <w:tc>
          <w:tcPr>
            <w:tcW w:w="772" w:type="dxa"/>
            <w:tcBorders>
              <w:top w:val="single" w:color="auto" w:sz="4" w:space="0"/>
              <w:left w:val="single" w:color="auto" w:sz="4" w:space="0"/>
              <w:bottom w:val="single" w:color="auto" w:sz="4" w:space="0"/>
              <w:right w:val="single" w:color="auto" w:sz="4" w:space="0"/>
            </w:tcBorders>
            <w:shd w:val="clear" w:color="auto" w:fill="auto"/>
            <w:vAlign w:val="center"/>
          </w:tcPr>
          <w:p w14:paraId="17ADAF63">
            <w:pPr>
              <w:ind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rPr>
              <w:t>1</w:t>
            </w:r>
          </w:p>
        </w:tc>
        <w:tc>
          <w:tcPr>
            <w:tcW w:w="3015" w:type="dxa"/>
            <w:tcBorders>
              <w:top w:val="single" w:color="auto" w:sz="4" w:space="0"/>
              <w:left w:val="nil"/>
              <w:bottom w:val="single" w:color="auto" w:sz="4" w:space="0"/>
              <w:right w:val="single" w:color="auto" w:sz="4" w:space="0"/>
            </w:tcBorders>
            <w:vAlign w:val="center"/>
          </w:tcPr>
          <w:p w14:paraId="3E4A0897">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最大功率</w:t>
            </w:r>
          </w:p>
        </w:tc>
        <w:tc>
          <w:tcPr>
            <w:tcW w:w="1382" w:type="dxa"/>
            <w:tcBorders>
              <w:top w:val="single" w:color="auto" w:sz="4" w:space="0"/>
              <w:left w:val="nil"/>
              <w:bottom w:val="single" w:color="auto" w:sz="4" w:space="0"/>
              <w:right w:val="single" w:color="auto" w:sz="4" w:space="0"/>
            </w:tcBorders>
            <w:vAlign w:val="center"/>
          </w:tcPr>
          <w:p w14:paraId="5BFE7C94">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kW</w:t>
            </w:r>
          </w:p>
        </w:tc>
        <w:tc>
          <w:tcPr>
            <w:tcW w:w="3979" w:type="dxa"/>
            <w:tcBorders>
              <w:top w:val="single" w:color="auto" w:sz="4" w:space="0"/>
              <w:left w:val="nil"/>
              <w:bottom w:val="single" w:color="auto" w:sz="4" w:space="0"/>
              <w:right w:val="single" w:color="auto" w:sz="4" w:space="0"/>
            </w:tcBorders>
            <w:vAlign w:val="center"/>
          </w:tcPr>
          <w:p w14:paraId="4ED985D5">
            <w:pPr>
              <w:ind w:firstLine="0" w:firstLineChars="0"/>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720</w:t>
            </w:r>
          </w:p>
        </w:tc>
      </w:tr>
      <w:tr w14:paraId="1518CC51">
        <w:tblPrEx>
          <w:tblCellMar>
            <w:top w:w="0" w:type="dxa"/>
            <w:left w:w="108" w:type="dxa"/>
            <w:bottom w:w="0" w:type="dxa"/>
            <w:right w:w="108" w:type="dxa"/>
          </w:tblCellMar>
        </w:tblPrEx>
        <w:trPr>
          <w:trHeight w:val="270" w:hRule="atLeast"/>
          <w:jc w:val="center"/>
        </w:trPr>
        <w:tc>
          <w:tcPr>
            <w:tcW w:w="772" w:type="dxa"/>
            <w:tcBorders>
              <w:top w:val="nil"/>
              <w:left w:val="single" w:color="auto" w:sz="4" w:space="0"/>
              <w:bottom w:val="single" w:color="auto" w:sz="4" w:space="0"/>
              <w:right w:val="single" w:color="auto" w:sz="4" w:space="0"/>
            </w:tcBorders>
            <w:shd w:val="clear" w:color="auto" w:fill="auto"/>
            <w:vAlign w:val="center"/>
          </w:tcPr>
          <w:p w14:paraId="5E86FD48">
            <w:pPr>
              <w:ind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rPr>
              <w:t>2</w:t>
            </w:r>
          </w:p>
        </w:tc>
        <w:tc>
          <w:tcPr>
            <w:tcW w:w="3015" w:type="dxa"/>
            <w:tcBorders>
              <w:top w:val="nil"/>
              <w:left w:val="nil"/>
              <w:bottom w:val="single" w:color="auto" w:sz="4" w:space="0"/>
              <w:right w:val="single" w:color="auto" w:sz="4" w:space="0"/>
            </w:tcBorders>
            <w:vAlign w:val="center"/>
          </w:tcPr>
          <w:p w14:paraId="348540C4">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交流输入电压</w:t>
            </w:r>
          </w:p>
        </w:tc>
        <w:tc>
          <w:tcPr>
            <w:tcW w:w="1382" w:type="dxa"/>
            <w:tcBorders>
              <w:top w:val="nil"/>
              <w:left w:val="nil"/>
              <w:bottom w:val="single" w:color="auto" w:sz="4" w:space="0"/>
              <w:right w:val="single" w:color="auto" w:sz="4" w:space="0"/>
            </w:tcBorders>
            <w:vAlign w:val="center"/>
          </w:tcPr>
          <w:p w14:paraId="4025116D">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V</w:t>
            </w:r>
          </w:p>
        </w:tc>
        <w:tc>
          <w:tcPr>
            <w:tcW w:w="3979" w:type="dxa"/>
            <w:tcBorders>
              <w:top w:val="nil"/>
              <w:left w:val="nil"/>
              <w:bottom w:val="single" w:color="auto" w:sz="4" w:space="0"/>
              <w:right w:val="single" w:color="auto" w:sz="4" w:space="0"/>
            </w:tcBorders>
            <w:vAlign w:val="center"/>
          </w:tcPr>
          <w:p w14:paraId="416BE0F5">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380±15%</w:t>
            </w:r>
          </w:p>
        </w:tc>
      </w:tr>
      <w:tr w14:paraId="41F1060B">
        <w:tblPrEx>
          <w:tblCellMar>
            <w:top w:w="0" w:type="dxa"/>
            <w:left w:w="108" w:type="dxa"/>
            <w:bottom w:w="0" w:type="dxa"/>
            <w:right w:w="108" w:type="dxa"/>
          </w:tblCellMar>
        </w:tblPrEx>
        <w:trPr>
          <w:trHeight w:val="270" w:hRule="atLeast"/>
          <w:jc w:val="center"/>
        </w:trPr>
        <w:tc>
          <w:tcPr>
            <w:tcW w:w="772" w:type="dxa"/>
            <w:tcBorders>
              <w:top w:val="nil"/>
              <w:left w:val="single" w:color="auto" w:sz="4" w:space="0"/>
              <w:bottom w:val="single" w:color="auto" w:sz="4" w:space="0"/>
              <w:right w:val="single" w:color="auto" w:sz="4" w:space="0"/>
            </w:tcBorders>
            <w:vAlign w:val="center"/>
          </w:tcPr>
          <w:p w14:paraId="2A41930B">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w:t>
            </w:r>
          </w:p>
        </w:tc>
        <w:tc>
          <w:tcPr>
            <w:tcW w:w="3015" w:type="dxa"/>
            <w:tcBorders>
              <w:top w:val="nil"/>
              <w:left w:val="nil"/>
              <w:bottom w:val="single" w:color="auto" w:sz="4" w:space="0"/>
              <w:right w:val="single" w:color="auto" w:sz="4" w:space="0"/>
            </w:tcBorders>
            <w:vAlign w:val="center"/>
          </w:tcPr>
          <w:p w14:paraId="0A7B9438">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交流电源频率</w:t>
            </w:r>
          </w:p>
        </w:tc>
        <w:tc>
          <w:tcPr>
            <w:tcW w:w="1382" w:type="dxa"/>
            <w:tcBorders>
              <w:top w:val="nil"/>
              <w:left w:val="nil"/>
              <w:bottom w:val="single" w:color="auto" w:sz="4" w:space="0"/>
              <w:right w:val="single" w:color="auto" w:sz="4" w:space="0"/>
            </w:tcBorders>
            <w:vAlign w:val="center"/>
          </w:tcPr>
          <w:p w14:paraId="25831647">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Hz</w:t>
            </w:r>
          </w:p>
        </w:tc>
        <w:tc>
          <w:tcPr>
            <w:tcW w:w="3979" w:type="dxa"/>
            <w:tcBorders>
              <w:top w:val="nil"/>
              <w:left w:val="nil"/>
              <w:bottom w:val="single" w:color="auto" w:sz="4" w:space="0"/>
              <w:right w:val="single" w:color="auto" w:sz="4" w:space="0"/>
            </w:tcBorders>
            <w:vAlign w:val="center"/>
          </w:tcPr>
          <w:p w14:paraId="1E2A5EA1">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50±1</w:t>
            </w:r>
          </w:p>
        </w:tc>
      </w:tr>
      <w:tr w14:paraId="71F24EFF">
        <w:tblPrEx>
          <w:tblCellMar>
            <w:top w:w="0" w:type="dxa"/>
            <w:left w:w="108" w:type="dxa"/>
            <w:bottom w:w="0" w:type="dxa"/>
            <w:right w:w="108" w:type="dxa"/>
          </w:tblCellMar>
        </w:tblPrEx>
        <w:trPr>
          <w:trHeight w:val="270" w:hRule="atLeast"/>
          <w:jc w:val="center"/>
        </w:trPr>
        <w:tc>
          <w:tcPr>
            <w:tcW w:w="772" w:type="dxa"/>
            <w:tcBorders>
              <w:top w:val="nil"/>
              <w:left w:val="single" w:color="auto" w:sz="4" w:space="0"/>
              <w:bottom w:val="single" w:color="auto" w:sz="4" w:space="0"/>
              <w:right w:val="single" w:color="auto" w:sz="4" w:space="0"/>
            </w:tcBorders>
            <w:vAlign w:val="center"/>
          </w:tcPr>
          <w:p w14:paraId="04797125">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w:t>
            </w:r>
          </w:p>
        </w:tc>
        <w:tc>
          <w:tcPr>
            <w:tcW w:w="3015" w:type="dxa"/>
            <w:tcBorders>
              <w:top w:val="nil"/>
              <w:left w:val="nil"/>
              <w:bottom w:val="single" w:color="auto" w:sz="4" w:space="0"/>
              <w:right w:val="single" w:color="auto" w:sz="4" w:space="0"/>
            </w:tcBorders>
            <w:vAlign w:val="center"/>
          </w:tcPr>
          <w:p w14:paraId="4DB4DBFF">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工作温度</w:t>
            </w:r>
          </w:p>
        </w:tc>
        <w:tc>
          <w:tcPr>
            <w:tcW w:w="1382" w:type="dxa"/>
            <w:tcBorders>
              <w:top w:val="nil"/>
              <w:left w:val="nil"/>
              <w:bottom w:val="single" w:color="auto" w:sz="4" w:space="0"/>
              <w:right w:val="single" w:color="auto" w:sz="4" w:space="0"/>
            </w:tcBorders>
            <w:vAlign w:val="center"/>
          </w:tcPr>
          <w:p w14:paraId="0503A464">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w:t>
            </w:r>
          </w:p>
        </w:tc>
        <w:tc>
          <w:tcPr>
            <w:tcW w:w="3979" w:type="dxa"/>
            <w:tcBorders>
              <w:top w:val="nil"/>
              <w:left w:val="nil"/>
              <w:bottom w:val="single" w:color="auto" w:sz="4" w:space="0"/>
              <w:right w:val="single" w:color="auto" w:sz="4" w:space="0"/>
            </w:tcBorders>
            <w:vAlign w:val="center"/>
          </w:tcPr>
          <w:p w14:paraId="1B35DBFC">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-30～+50</w:t>
            </w:r>
          </w:p>
        </w:tc>
      </w:tr>
      <w:tr w14:paraId="74F80635">
        <w:tblPrEx>
          <w:tblCellMar>
            <w:top w:w="0" w:type="dxa"/>
            <w:left w:w="108" w:type="dxa"/>
            <w:bottom w:w="0" w:type="dxa"/>
            <w:right w:w="108" w:type="dxa"/>
          </w:tblCellMar>
        </w:tblPrEx>
        <w:trPr>
          <w:trHeight w:val="270" w:hRule="atLeast"/>
          <w:jc w:val="center"/>
        </w:trPr>
        <w:tc>
          <w:tcPr>
            <w:tcW w:w="772" w:type="dxa"/>
            <w:tcBorders>
              <w:top w:val="nil"/>
              <w:left w:val="single" w:color="auto" w:sz="4" w:space="0"/>
              <w:bottom w:val="single" w:color="auto" w:sz="4" w:space="0"/>
              <w:right w:val="single" w:color="auto" w:sz="4" w:space="0"/>
            </w:tcBorders>
            <w:vAlign w:val="center"/>
          </w:tcPr>
          <w:p w14:paraId="67E28F34">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w:t>
            </w:r>
          </w:p>
        </w:tc>
        <w:tc>
          <w:tcPr>
            <w:tcW w:w="3015" w:type="dxa"/>
            <w:tcBorders>
              <w:top w:val="nil"/>
              <w:left w:val="nil"/>
              <w:bottom w:val="single" w:color="auto" w:sz="4" w:space="0"/>
              <w:right w:val="single" w:color="auto" w:sz="4" w:space="0"/>
            </w:tcBorders>
            <w:vAlign w:val="center"/>
          </w:tcPr>
          <w:p w14:paraId="6116FA9D">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相对湿度</w:t>
            </w:r>
          </w:p>
        </w:tc>
        <w:tc>
          <w:tcPr>
            <w:tcW w:w="1382" w:type="dxa"/>
            <w:tcBorders>
              <w:top w:val="nil"/>
              <w:left w:val="nil"/>
              <w:bottom w:val="single" w:color="auto" w:sz="4" w:space="0"/>
              <w:right w:val="single" w:color="auto" w:sz="4" w:space="0"/>
            </w:tcBorders>
            <w:vAlign w:val="center"/>
          </w:tcPr>
          <w:p w14:paraId="18E67C22">
            <w:pPr>
              <w:ind w:firstLine="0" w:firstLineChars="0"/>
              <w:jc w:val="center"/>
              <w:rPr>
                <w:rFonts w:hint="eastAsia" w:ascii="仿宋" w:hAnsi="仿宋" w:eastAsia="仿宋" w:cs="仿宋"/>
                <w:sz w:val="21"/>
                <w:szCs w:val="21"/>
                <w:lang w:val="en-US" w:eastAsia="zh-CN"/>
              </w:rPr>
            </w:pPr>
          </w:p>
        </w:tc>
        <w:tc>
          <w:tcPr>
            <w:tcW w:w="3979" w:type="dxa"/>
            <w:tcBorders>
              <w:top w:val="nil"/>
              <w:left w:val="nil"/>
              <w:bottom w:val="single" w:color="auto" w:sz="4" w:space="0"/>
              <w:right w:val="single" w:color="auto" w:sz="4" w:space="0"/>
            </w:tcBorders>
            <w:vAlign w:val="center"/>
          </w:tcPr>
          <w:p w14:paraId="30E8D5E0">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5%～95%</w:t>
            </w:r>
          </w:p>
        </w:tc>
      </w:tr>
      <w:tr w14:paraId="33C28FD1">
        <w:tblPrEx>
          <w:tblCellMar>
            <w:top w:w="0" w:type="dxa"/>
            <w:left w:w="108" w:type="dxa"/>
            <w:bottom w:w="0" w:type="dxa"/>
            <w:right w:w="108" w:type="dxa"/>
          </w:tblCellMar>
        </w:tblPrEx>
        <w:trPr>
          <w:trHeight w:val="270" w:hRule="atLeast"/>
          <w:jc w:val="center"/>
        </w:trPr>
        <w:tc>
          <w:tcPr>
            <w:tcW w:w="772" w:type="dxa"/>
            <w:tcBorders>
              <w:top w:val="nil"/>
              <w:left w:val="single" w:color="auto" w:sz="4" w:space="0"/>
              <w:bottom w:val="single" w:color="auto" w:sz="4" w:space="0"/>
              <w:right w:val="single" w:color="auto" w:sz="4" w:space="0"/>
            </w:tcBorders>
            <w:vAlign w:val="center"/>
          </w:tcPr>
          <w:p w14:paraId="137A30AE">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w:t>
            </w:r>
          </w:p>
        </w:tc>
        <w:tc>
          <w:tcPr>
            <w:tcW w:w="3015" w:type="dxa"/>
            <w:tcBorders>
              <w:top w:val="nil"/>
              <w:left w:val="nil"/>
              <w:bottom w:val="single" w:color="auto" w:sz="4" w:space="0"/>
              <w:right w:val="single" w:color="auto" w:sz="4" w:space="0"/>
            </w:tcBorders>
            <w:vAlign w:val="center"/>
          </w:tcPr>
          <w:p w14:paraId="4413E8F3">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功率因数</w:t>
            </w:r>
          </w:p>
        </w:tc>
        <w:tc>
          <w:tcPr>
            <w:tcW w:w="1382" w:type="dxa"/>
            <w:tcBorders>
              <w:top w:val="nil"/>
              <w:left w:val="nil"/>
              <w:bottom w:val="single" w:color="auto" w:sz="4" w:space="0"/>
              <w:right w:val="single" w:color="auto" w:sz="4" w:space="0"/>
            </w:tcBorders>
            <w:vAlign w:val="center"/>
          </w:tcPr>
          <w:p w14:paraId="62DA1F33">
            <w:pPr>
              <w:ind w:firstLine="0" w:firstLineChars="0"/>
              <w:jc w:val="center"/>
              <w:rPr>
                <w:rFonts w:hint="eastAsia" w:ascii="仿宋" w:hAnsi="仿宋" w:eastAsia="仿宋" w:cs="仿宋"/>
                <w:sz w:val="21"/>
                <w:szCs w:val="21"/>
              </w:rPr>
            </w:pPr>
          </w:p>
        </w:tc>
        <w:tc>
          <w:tcPr>
            <w:tcW w:w="3979" w:type="dxa"/>
            <w:tcBorders>
              <w:top w:val="nil"/>
              <w:left w:val="nil"/>
              <w:bottom w:val="single" w:color="auto" w:sz="4" w:space="0"/>
              <w:right w:val="single" w:color="auto" w:sz="4" w:space="0"/>
            </w:tcBorders>
            <w:vAlign w:val="center"/>
          </w:tcPr>
          <w:p w14:paraId="3602ED06">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20%≤Po/PN＜50%：≥0.98</w:t>
            </w:r>
          </w:p>
          <w:p w14:paraId="52D16544">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50%≤Po/PN≤100%：≥0.99</w:t>
            </w:r>
          </w:p>
        </w:tc>
      </w:tr>
      <w:tr w14:paraId="4B455947">
        <w:tblPrEx>
          <w:tblCellMar>
            <w:top w:w="0" w:type="dxa"/>
            <w:left w:w="108" w:type="dxa"/>
            <w:bottom w:w="0" w:type="dxa"/>
            <w:right w:w="108" w:type="dxa"/>
          </w:tblCellMar>
        </w:tblPrEx>
        <w:trPr>
          <w:trHeight w:val="270" w:hRule="atLeast"/>
          <w:jc w:val="center"/>
        </w:trPr>
        <w:tc>
          <w:tcPr>
            <w:tcW w:w="772" w:type="dxa"/>
            <w:tcBorders>
              <w:top w:val="nil"/>
              <w:left w:val="single" w:color="auto" w:sz="4" w:space="0"/>
              <w:bottom w:val="single" w:color="auto" w:sz="4" w:space="0"/>
              <w:right w:val="single" w:color="auto" w:sz="4" w:space="0"/>
            </w:tcBorders>
            <w:vAlign w:val="center"/>
          </w:tcPr>
          <w:p w14:paraId="2E86F86C">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7</w:t>
            </w:r>
          </w:p>
        </w:tc>
        <w:tc>
          <w:tcPr>
            <w:tcW w:w="3015" w:type="dxa"/>
            <w:tcBorders>
              <w:top w:val="nil"/>
              <w:left w:val="nil"/>
              <w:bottom w:val="single" w:color="auto" w:sz="4" w:space="0"/>
              <w:right w:val="single" w:color="auto" w:sz="4" w:space="0"/>
            </w:tcBorders>
            <w:vAlign w:val="center"/>
          </w:tcPr>
          <w:p w14:paraId="7B7D6D59">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整机效率</w:t>
            </w:r>
          </w:p>
        </w:tc>
        <w:tc>
          <w:tcPr>
            <w:tcW w:w="1382" w:type="dxa"/>
            <w:tcBorders>
              <w:top w:val="nil"/>
              <w:left w:val="nil"/>
              <w:bottom w:val="single" w:color="auto" w:sz="4" w:space="0"/>
              <w:right w:val="single" w:color="auto" w:sz="4" w:space="0"/>
            </w:tcBorders>
            <w:vAlign w:val="center"/>
          </w:tcPr>
          <w:p w14:paraId="7E024813">
            <w:pPr>
              <w:ind w:firstLine="0" w:firstLineChars="0"/>
              <w:jc w:val="center"/>
              <w:rPr>
                <w:rFonts w:hint="eastAsia" w:ascii="仿宋" w:hAnsi="仿宋" w:eastAsia="仿宋" w:cs="仿宋"/>
                <w:sz w:val="21"/>
                <w:szCs w:val="21"/>
              </w:rPr>
            </w:pPr>
          </w:p>
        </w:tc>
        <w:tc>
          <w:tcPr>
            <w:tcW w:w="3979" w:type="dxa"/>
            <w:tcBorders>
              <w:top w:val="nil"/>
              <w:left w:val="nil"/>
              <w:bottom w:val="single" w:color="auto" w:sz="4" w:space="0"/>
              <w:right w:val="single" w:color="auto" w:sz="4" w:space="0"/>
            </w:tcBorders>
            <w:vAlign w:val="center"/>
          </w:tcPr>
          <w:p w14:paraId="6F94E485">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20%≤Po/PN＜50%：≥93%</w:t>
            </w:r>
          </w:p>
          <w:p w14:paraId="1B637B0B">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50%≤Po/PN≤100%：≥94%</w:t>
            </w:r>
          </w:p>
        </w:tc>
      </w:tr>
      <w:tr w14:paraId="147C50F5">
        <w:tblPrEx>
          <w:tblCellMar>
            <w:top w:w="0" w:type="dxa"/>
            <w:left w:w="108" w:type="dxa"/>
            <w:bottom w:w="0" w:type="dxa"/>
            <w:right w:w="108" w:type="dxa"/>
          </w:tblCellMar>
        </w:tblPrEx>
        <w:trPr>
          <w:trHeight w:val="450" w:hRule="atLeast"/>
          <w:jc w:val="center"/>
        </w:trPr>
        <w:tc>
          <w:tcPr>
            <w:tcW w:w="772" w:type="dxa"/>
            <w:tcBorders>
              <w:top w:val="nil"/>
              <w:left w:val="single" w:color="auto" w:sz="4" w:space="0"/>
              <w:bottom w:val="single" w:color="auto" w:sz="4" w:space="0"/>
              <w:right w:val="single" w:color="auto" w:sz="4" w:space="0"/>
            </w:tcBorders>
            <w:vAlign w:val="center"/>
          </w:tcPr>
          <w:p w14:paraId="1C334AD7">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8</w:t>
            </w:r>
          </w:p>
        </w:tc>
        <w:tc>
          <w:tcPr>
            <w:tcW w:w="3015" w:type="dxa"/>
            <w:tcBorders>
              <w:top w:val="nil"/>
              <w:left w:val="nil"/>
              <w:bottom w:val="single" w:color="auto" w:sz="4" w:space="0"/>
              <w:right w:val="single" w:color="auto" w:sz="4" w:space="0"/>
            </w:tcBorders>
            <w:vAlign w:val="center"/>
          </w:tcPr>
          <w:p w14:paraId="1B82B7FD">
            <w:pPr>
              <w:ind w:firstLine="0" w:firstLineChars="0"/>
              <w:jc w:val="center"/>
              <w:rPr>
                <w:rFonts w:hint="eastAsia" w:ascii="仿宋" w:hAnsi="仿宋" w:eastAsia="仿宋" w:cs="仿宋"/>
                <w:sz w:val="21"/>
                <w:szCs w:val="21"/>
              </w:rPr>
            </w:pPr>
            <w:r>
              <w:rPr>
                <w:rFonts w:hint="eastAsia" w:ascii="仿宋" w:hAnsi="仿宋" w:eastAsia="仿宋" w:cs="仿宋"/>
                <w:sz w:val="21"/>
                <w:szCs w:val="21"/>
                <w:lang w:val="en-US" w:eastAsia="zh-CN"/>
              </w:rPr>
              <w:t>输出电压</w:t>
            </w:r>
            <w:r>
              <w:rPr>
                <w:rFonts w:hint="eastAsia" w:ascii="仿宋" w:hAnsi="仿宋" w:eastAsia="仿宋" w:cs="仿宋"/>
                <w:sz w:val="21"/>
                <w:szCs w:val="21"/>
              </w:rPr>
              <w:t>范围</w:t>
            </w:r>
          </w:p>
        </w:tc>
        <w:tc>
          <w:tcPr>
            <w:tcW w:w="1382" w:type="dxa"/>
            <w:tcBorders>
              <w:top w:val="nil"/>
              <w:left w:val="nil"/>
              <w:bottom w:val="single" w:color="auto" w:sz="4" w:space="0"/>
              <w:right w:val="single" w:color="auto" w:sz="4" w:space="0"/>
            </w:tcBorders>
            <w:vAlign w:val="center"/>
          </w:tcPr>
          <w:p w14:paraId="5B11F01B">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V</w:t>
            </w:r>
          </w:p>
        </w:tc>
        <w:tc>
          <w:tcPr>
            <w:tcW w:w="3979" w:type="dxa"/>
            <w:tcBorders>
              <w:top w:val="nil"/>
              <w:left w:val="nil"/>
              <w:bottom w:val="single" w:color="auto" w:sz="4" w:space="0"/>
              <w:right w:val="single" w:color="auto" w:sz="4" w:space="0"/>
            </w:tcBorders>
            <w:vAlign w:val="center"/>
          </w:tcPr>
          <w:p w14:paraId="3BF217F0">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200～1000</w:t>
            </w:r>
          </w:p>
        </w:tc>
      </w:tr>
      <w:tr w14:paraId="758E4D6C">
        <w:tblPrEx>
          <w:tblCellMar>
            <w:top w:w="0" w:type="dxa"/>
            <w:left w:w="108" w:type="dxa"/>
            <w:bottom w:w="0" w:type="dxa"/>
            <w:right w:w="108" w:type="dxa"/>
          </w:tblCellMar>
        </w:tblPrEx>
        <w:trPr>
          <w:trHeight w:val="450" w:hRule="atLeast"/>
          <w:jc w:val="center"/>
        </w:trPr>
        <w:tc>
          <w:tcPr>
            <w:tcW w:w="772" w:type="dxa"/>
            <w:tcBorders>
              <w:top w:val="nil"/>
              <w:left w:val="single" w:color="auto" w:sz="4" w:space="0"/>
              <w:bottom w:val="single" w:color="auto" w:sz="4" w:space="0"/>
              <w:right w:val="single" w:color="auto" w:sz="4" w:space="0"/>
            </w:tcBorders>
            <w:vAlign w:val="center"/>
          </w:tcPr>
          <w:p w14:paraId="6E6A7CE7">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9</w:t>
            </w:r>
          </w:p>
        </w:tc>
        <w:tc>
          <w:tcPr>
            <w:tcW w:w="3015" w:type="dxa"/>
            <w:tcBorders>
              <w:top w:val="nil"/>
              <w:left w:val="nil"/>
              <w:bottom w:val="single" w:color="auto" w:sz="4" w:space="0"/>
              <w:right w:val="single" w:color="auto" w:sz="4" w:space="0"/>
            </w:tcBorders>
            <w:vAlign w:val="center"/>
          </w:tcPr>
          <w:p w14:paraId="4DA651B7">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恒功率范围</w:t>
            </w:r>
          </w:p>
        </w:tc>
        <w:tc>
          <w:tcPr>
            <w:tcW w:w="1382" w:type="dxa"/>
            <w:tcBorders>
              <w:top w:val="nil"/>
              <w:left w:val="nil"/>
              <w:bottom w:val="single" w:color="auto" w:sz="4" w:space="0"/>
              <w:right w:val="single" w:color="auto" w:sz="4" w:space="0"/>
            </w:tcBorders>
            <w:vAlign w:val="center"/>
          </w:tcPr>
          <w:p w14:paraId="0B1C6068">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V</w:t>
            </w:r>
          </w:p>
        </w:tc>
        <w:tc>
          <w:tcPr>
            <w:tcW w:w="3979" w:type="dxa"/>
            <w:tcBorders>
              <w:top w:val="nil"/>
              <w:left w:val="nil"/>
              <w:bottom w:val="single" w:color="auto" w:sz="4" w:space="0"/>
              <w:right w:val="single" w:color="auto" w:sz="4" w:space="0"/>
            </w:tcBorders>
            <w:vAlign w:val="center"/>
          </w:tcPr>
          <w:p w14:paraId="15AFF932">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300～1000</w:t>
            </w:r>
          </w:p>
        </w:tc>
      </w:tr>
      <w:tr w14:paraId="290D0A58">
        <w:tblPrEx>
          <w:tblCellMar>
            <w:top w:w="0" w:type="dxa"/>
            <w:left w:w="108" w:type="dxa"/>
            <w:bottom w:w="0" w:type="dxa"/>
            <w:right w:w="108" w:type="dxa"/>
          </w:tblCellMar>
        </w:tblPrEx>
        <w:trPr>
          <w:trHeight w:val="270" w:hRule="atLeast"/>
          <w:jc w:val="center"/>
        </w:trPr>
        <w:tc>
          <w:tcPr>
            <w:tcW w:w="772" w:type="dxa"/>
            <w:tcBorders>
              <w:top w:val="nil"/>
              <w:left w:val="single" w:color="auto" w:sz="4" w:space="0"/>
              <w:bottom w:val="single" w:color="auto" w:sz="4" w:space="0"/>
              <w:right w:val="single" w:color="auto" w:sz="4" w:space="0"/>
            </w:tcBorders>
            <w:vAlign w:val="center"/>
          </w:tcPr>
          <w:p w14:paraId="623B3C5C">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10</w:t>
            </w:r>
          </w:p>
        </w:tc>
        <w:tc>
          <w:tcPr>
            <w:tcW w:w="3015" w:type="dxa"/>
            <w:tcBorders>
              <w:top w:val="nil"/>
              <w:left w:val="nil"/>
              <w:bottom w:val="single" w:color="auto" w:sz="4" w:space="0"/>
              <w:right w:val="single" w:color="auto" w:sz="4" w:space="0"/>
            </w:tcBorders>
            <w:vAlign w:val="center"/>
          </w:tcPr>
          <w:p w14:paraId="3DEFB606">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输出电压设定误差</w:t>
            </w:r>
          </w:p>
        </w:tc>
        <w:tc>
          <w:tcPr>
            <w:tcW w:w="1382" w:type="dxa"/>
            <w:tcBorders>
              <w:top w:val="nil"/>
              <w:left w:val="nil"/>
              <w:bottom w:val="single" w:color="auto" w:sz="4" w:space="0"/>
              <w:right w:val="single" w:color="auto" w:sz="4" w:space="0"/>
            </w:tcBorders>
            <w:vAlign w:val="center"/>
          </w:tcPr>
          <w:p w14:paraId="170AFB49">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w:t>
            </w:r>
          </w:p>
        </w:tc>
        <w:tc>
          <w:tcPr>
            <w:tcW w:w="3979" w:type="dxa"/>
            <w:tcBorders>
              <w:top w:val="nil"/>
              <w:left w:val="nil"/>
              <w:bottom w:val="single" w:color="auto" w:sz="4" w:space="0"/>
              <w:right w:val="single" w:color="auto" w:sz="4" w:space="0"/>
            </w:tcBorders>
            <w:vAlign w:val="center"/>
          </w:tcPr>
          <w:p w14:paraId="3FD588C6">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不超过±0.15</w:t>
            </w:r>
          </w:p>
        </w:tc>
      </w:tr>
      <w:tr w14:paraId="22A4DA7D">
        <w:tblPrEx>
          <w:tblCellMar>
            <w:top w:w="0" w:type="dxa"/>
            <w:left w:w="108" w:type="dxa"/>
            <w:bottom w:w="0" w:type="dxa"/>
            <w:right w:w="108" w:type="dxa"/>
          </w:tblCellMar>
        </w:tblPrEx>
        <w:trPr>
          <w:trHeight w:val="450" w:hRule="atLeast"/>
          <w:jc w:val="center"/>
        </w:trPr>
        <w:tc>
          <w:tcPr>
            <w:tcW w:w="772" w:type="dxa"/>
            <w:tcBorders>
              <w:top w:val="nil"/>
              <w:left w:val="single" w:color="auto" w:sz="4" w:space="0"/>
              <w:bottom w:val="single" w:color="auto" w:sz="4" w:space="0"/>
              <w:right w:val="single" w:color="auto" w:sz="4" w:space="0"/>
            </w:tcBorders>
            <w:vAlign w:val="center"/>
          </w:tcPr>
          <w:p w14:paraId="76524DD2">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11</w:t>
            </w:r>
          </w:p>
        </w:tc>
        <w:tc>
          <w:tcPr>
            <w:tcW w:w="3015" w:type="dxa"/>
            <w:tcBorders>
              <w:top w:val="nil"/>
              <w:left w:val="nil"/>
              <w:bottom w:val="single" w:color="auto" w:sz="4" w:space="0"/>
              <w:right w:val="single" w:color="auto" w:sz="4" w:space="0"/>
            </w:tcBorders>
            <w:vAlign w:val="center"/>
          </w:tcPr>
          <w:p w14:paraId="0C829C80">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输出电流设定误差</w:t>
            </w:r>
          </w:p>
        </w:tc>
        <w:tc>
          <w:tcPr>
            <w:tcW w:w="1382" w:type="dxa"/>
            <w:tcBorders>
              <w:top w:val="nil"/>
              <w:left w:val="nil"/>
              <w:bottom w:val="single" w:color="auto" w:sz="4" w:space="0"/>
              <w:right w:val="single" w:color="auto" w:sz="4" w:space="0"/>
            </w:tcBorders>
            <w:vAlign w:val="center"/>
          </w:tcPr>
          <w:p w14:paraId="2FB711C9">
            <w:pPr>
              <w:ind w:firstLine="0" w:firstLineChars="0"/>
              <w:jc w:val="center"/>
              <w:rPr>
                <w:rFonts w:hint="eastAsia" w:ascii="仿宋" w:hAnsi="仿宋" w:eastAsia="仿宋" w:cs="仿宋"/>
                <w:sz w:val="21"/>
                <w:szCs w:val="21"/>
              </w:rPr>
            </w:pPr>
          </w:p>
        </w:tc>
        <w:tc>
          <w:tcPr>
            <w:tcW w:w="3979" w:type="dxa"/>
            <w:tcBorders>
              <w:top w:val="nil"/>
              <w:left w:val="nil"/>
              <w:bottom w:val="single" w:color="auto" w:sz="4" w:space="0"/>
              <w:right w:val="single" w:color="auto" w:sz="4" w:space="0"/>
            </w:tcBorders>
            <w:vAlign w:val="center"/>
          </w:tcPr>
          <w:p w14:paraId="6C8F0EA3">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≥30A：不超过±0.5%</w:t>
            </w:r>
          </w:p>
          <w:p w14:paraId="579661C3">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＜30A：不超过±0.3A</w:t>
            </w:r>
          </w:p>
        </w:tc>
      </w:tr>
      <w:tr w14:paraId="4B1C3816">
        <w:tblPrEx>
          <w:tblCellMar>
            <w:top w:w="0" w:type="dxa"/>
            <w:left w:w="108" w:type="dxa"/>
            <w:bottom w:w="0" w:type="dxa"/>
            <w:right w:w="108" w:type="dxa"/>
          </w:tblCellMar>
        </w:tblPrEx>
        <w:trPr>
          <w:trHeight w:val="270" w:hRule="atLeast"/>
          <w:jc w:val="center"/>
        </w:trPr>
        <w:tc>
          <w:tcPr>
            <w:tcW w:w="772" w:type="dxa"/>
            <w:tcBorders>
              <w:top w:val="nil"/>
              <w:left w:val="single" w:color="auto" w:sz="4" w:space="0"/>
              <w:bottom w:val="single" w:color="auto" w:sz="4" w:space="0"/>
              <w:right w:val="single" w:color="auto" w:sz="4" w:space="0"/>
            </w:tcBorders>
            <w:vAlign w:val="center"/>
          </w:tcPr>
          <w:p w14:paraId="6C23CDE6">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12</w:t>
            </w:r>
          </w:p>
        </w:tc>
        <w:tc>
          <w:tcPr>
            <w:tcW w:w="3015" w:type="dxa"/>
            <w:tcBorders>
              <w:top w:val="nil"/>
              <w:left w:val="nil"/>
              <w:bottom w:val="single" w:color="auto" w:sz="4" w:space="0"/>
              <w:right w:val="single" w:color="auto" w:sz="4" w:space="0"/>
            </w:tcBorders>
            <w:vAlign w:val="center"/>
          </w:tcPr>
          <w:p w14:paraId="5CBD6256">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稳压精度</w:t>
            </w:r>
          </w:p>
        </w:tc>
        <w:tc>
          <w:tcPr>
            <w:tcW w:w="1382" w:type="dxa"/>
            <w:tcBorders>
              <w:top w:val="nil"/>
              <w:left w:val="nil"/>
              <w:bottom w:val="single" w:color="auto" w:sz="4" w:space="0"/>
              <w:right w:val="single" w:color="auto" w:sz="4" w:space="0"/>
            </w:tcBorders>
            <w:vAlign w:val="center"/>
          </w:tcPr>
          <w:p w14:paraId="499FAF57">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w:t>
            </w:r>
          </w:p>
        </w:tc>
        <w:tc>
          <w:tcPr>
            <w:tcW w:w="3979" w:type="dxa"/>
            <w:tcBorders>
              <w:top w:val="nil"/>
              <w:left w:val="nil"/>
              <w:bottom w:val="single" w:color="auto" w:sz="4" w:space="0"/>
              <w:right w:val="single" w:color="auto" w:sz="4" w:space="0"/>
            </w:tcBorders>
            <w:vAlign w:val="center"/>
          </w:tcPr>
          <w:p w14:paraId="1054E69D">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不超过±0.3</w:t>
            </w:r>
          </w:p>
        </w:tc>
      </w:tr>
      <w:tr w14:paraId="1BDC0A61">
        <w:tblPrEx>
          <w:tblCellMar>
            <w:top w:w="0" w:type="dxa"/>
            <w:left w:w="108" w:type="dxa"/>
            <w:bottom w:w="0" w:type="dxa"/>
            <w:right w:w="108" w:type="dxa"/>
          </w:tblCellMar>
        </w:tblPrEx>
        <w:trPr>
          <w:trHeight w:val="270" w:hRule="atLeast"/>
          <w:jc w:val="center"/>
        </w:trPr>
        <w:tc>
          <w:tcPr>
            <w:tcW w:w="772" w:type="dxa"/>
            <w:tcBorders>
              <w:top w:val="nil"/>
              <w:left w:val="single" w:color="auto" w:sz="4" w:space="0"/>
              <w:bottom w:val="single" w:color="auto" w:sz="4" w:space="0"/>
              <w:right w:val="single" w:color="auto" w:sz="4" w:space="0"/>
            </w:tcBorders>
            <w:vAlign w:val="center"/>
          </w:tcPr>
          <w:p w14:paraId="332E48D2">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13</w:t>
            </w:r>
          </w:p>
        </w:tc>
        <w:tc>
          <w:tcPr>
            <w:tcW w:w="3015" w:type="dxa"/>
            <w:tcBorders>
              <w:top w:val="nil"/>
              <w:left w:val="nil"/>
              <w:bottom w:val="single" w:color="auto" w:sz="4" w:space="0"/>
              <w:right w:val="single" w:color="auto" w:sz="4" w:space="0"/>
            </w:tcBorders>
            <w:vAlign w:val="center"/>
          </w:tcPr>
          <w:p w14:paraId="069C667C">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稳流精度</w:t>
            </w:r>
          </w:p>
        </w:tc>
        <w:tc>
          <w:tcPr>
            <w:tcW w:w="1382" w:type="dxa"/>
            <w:tcBorders>
              <w:top w:val="nil"/>
              <w:left w:val="nil"/>
              <w:bottom w:val="single" w:color="auto" w:sz="4" w:space="0"/>
              <w:right w:val="single" w:color="auto" w:sz="4" w:space="0"/>
            </w:tcBorders>
            <w:vAlign w:val="center"/>
          </w:tcPr>
          <w:p w14:paraId="47F0CCF0">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w:t>
            </w:r>
          </w:p>
        </w:tc>
        <w:tc>
          <w:tcPr>
            <w:tcW w:w="3979" w:type="dxa"/>
            <w:tcBorders>
              <w:top w:val="nil"/>
              <w:left w:val="nil"/>
              <w:bottom w:val="single" w:color="auto" w:sz="4" w:space="0"/>
              <w:right w:val="single" w:color="auto" w:sz="4" w:space="0"/>
            </w:tcBorders>
            <w:vAlign w:val="center"/>
          </w:tcPr>
          <w:p w14:paraId="568078F8">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不超过±0.5</w:t>
            </w:r>
          </w:p>
        </w:tc>
      </w:tr>
      <w:tr w14:paraId="56B9BC16">
        <w:tblPrEx>
          <w:tblCellMar>
            <w:top w:w="0" w:type="dxa"/>
            <w:left w:w="108" w:type="dxa"/>
            <w:bottom w:w="0" w:type="dxa"/>
            <w:right w:w="108" w:type="dxa"/>
          </w:tblCellMar>
        </w:tblPrEx>
        <w:trPr>
          <w:trHeight w:val="450" w:hRule="atLeast"/>
          <w:jc w:val="center"/>
        </w:trPr>
        <w:tc>
          <w:tcPr>
            <w:tcW w:w="772" w:type="dxa"/>
            <w:tcBorders>
              <w:top w:val="nil"/>
              <w:left w:val="single" w:color="auto" w:sz="4" w:space="0"/>
              <w:bottom w:val="single" w:color="auto" w:sz="4" w:space="0"/>
              <w:right w:val="single" w:color="auto" w:sz="4" w:space="0"/>
            </w:tcBorders>
            <w:vAlign w:val="center"/>
          </w:tcPr>
          <w:p w14:paraId="58D0AB29">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14</w:t>
            </w:r>
          </w:p>
        </w:tc>
        <w:tc>
          <w:tcPr>
            <w:tcW w:w="3015" w:type="dxa"/>
            <w:tcBorders>
              <w:top w:val="nil"/>
              <w:left w:val="nil"/>
              <w:bottom w:val="single" w:color="auto" w:sz="4" w:space="0"/>
              <w:right w:val="single" w:color="auto" w:sz="4" w:space="0"/>
            </w:tcBorders>
            <w:vAlign w:val="center"/>
          </w:tcPr>
          <w:p w14:paraId="08B03809">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纹波系数</w:t>
            </w:r>
          </w:p>
        </w:tc>
        <w:tc>
          <w:tcPr>
            <w:tcW w:w="1382" w:type="dxa"/>
            <w:tcBorders>
              <w:top w:val="nil"/>
              <w:left w:val="nil"/>
              <w:bottom w:val="single" w:color="auto" w:sz="4" w:space="0"/>
              <w:right w:val="single" w:color="auto" w:sz="4" w:space="0"/>
            </w:tcBorders>
            <w:vAlign w:val="center"/>
          </w:tcPr>
          <w:p w14:paraId="3FBA2D1F">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w:t>
            </w:r>
          </w:p>
        </w:tc>
        <w:tc>
          <w:tcPr>
            <w:tcW w:w="3979" w:type="dxa"/>
            <w:tcBorders>
              <w:top w:val="nil"/>
              <w:left w:val="nil"/>
              <w:bottom w:val="single" w:color="auto" w:sz="4" w:space="0"/>
              <w:right w:val="single" w:color="auto" w:sz="4" w:space="0"/>
            </w:tcBorders>
            <w:vAlign w:val="center"/>
          </w:tcPr>
          <w:p w14:paraId="3EC06CF3">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有效值：不超过±0.15</w:t>
            </w:r>
          </w:p>
          <w:p w14:paraId="597698F0">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峰值：不超过±0.3</w:t>
            </w:r>
          </w:p>
        </w:tc>
      </w:tr>
      <w:tr w14:paraId="7699BE46">
        <w:tblPrEx>
          <w:tblCellMar>
            <w:top w:w="0" w:type="dxa"/>
            <w:left w:w="108" w:type="dxa"/>
            <w:bottom w:w="0" w:type="dxa"/>
            <w:right w:w="108" w:type="dxa"/>
          </w:tblCellMar>
        </w:tblPrEx>
        <w:trPr>
          <w:trHeight w:val="450" w:hRule="atLeast"/>
          <w:jc w:val="center"/>
        </w:trPr>
        <w:tc>
          <w:tcPr>
            <w:tcW w:w="772" w:type="dxa"/>
            <w:tcBorders>
              <w:top w:val="nil"/>
              <w:left w:val="single" w:color="auto" w:sz="4" w:space="0"/>
              <w:bottom w:val="single" w:color="auto" w:sz="4" w:space="0"/>
              <w:right w:val="single" w:color="auto" w:sz="4" w:space="0"/>
            </w:tcBorders>
            <w:vAlign w:val="center"/>
          </w:tcPr>
          <w:p w14:paraId="583E37A9">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15</w:t>
            </w:r>
          </w:p>
        </w:tc>
        <w:tc>
          <w:tcPr>
            <w:tcW w:w="3015" w:type="dxa"/>
            <w:tcBorders>
              <w:top w:val="nil"/>
              <w:left w:val="nil"/>
              <w:bottom w:val="single" w:color="auto" w:sz="4" w:space="0"/>
              <w:right w:val="single" w:color="auto" w:sz="4" w:space="0"/>
            </w:tcBorders>
            <w:vAlign w:val="center"/>
          </w:tcPr>
          <w:p w14:paraId="7ABCAFF0">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均流不平衡度</w:t>
            </w:r>
          </w:p>
        </w:tc>
        <w:tc>
          <w:tcPr>
            <w:tcW w:w="1382" w:type="dxa"/>
            <w:tcBorders>
              <w:top w:val="nil"/>
              <w:left w:val="nil"/>
              <w:bottom w:val="single" w:color="auto" w:sz="4" w:space="0"/>
              <w:right w:val="single" w:color="auto" w:sz="4" w:space="0"/>
            </w:tcBorders>
            <w:vAlign w:val="center"/>
          </w:tcPr>
          <w:p w14:paraId="009CF9D0">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w:t>
            </w:r>
          </w:p>
        </w:tc>
        <w:tc>
          <w:tcPr>
            <w:tcW w:w="3979" w:type="dxa"/>
            <w:tcBorders>
              <w:top w:val="nil"/>
              <w:left w:val="nil"/>
              <w:bottom w:val="single" w:color="auto" w:sz="4" w:space="0"/>
              <w:right w:val="single" w:color="auto" w:sz="4" w:space="0"/>
            </w:tcBorders>
            <w:vAlign w:val="center"/>
          </w:tcPr>
          <w:p w14:paraId="0D2792BA">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w:t>
            </w:r>
          </w:p>
        </w:tc>
      </w:tr>
      <w:tr w14:paraId="1128BCBA">
        <w:tblPrEx>
          <w:tblCellMar>
            <w:top w:w="0" w:type="dxa"/>
            <w:left w:w="108" w:type="dxa"/>
            <w:bottom w:w="0" w:type="dxa"/>
            <w:right w:w="108" w:type="dxa"/>
          </w:tblCellMar>
        </w:tblPrEx>
        <w:trPr>
          <w:trHeight w:val="270" w:hRule="atLeast"/>
          <w:jc w:val="center"/>
        </w:trPr>
        <w:tc>
          <w:tcPr>
            <w:tcW w:w="772" w:type="dxa"/>
            <w:tcBorders>
              <w:top w:val="nil"/>
              <w:left w:val="single" w:color="auto" w:sz="4" w:space="0"/>
              <w:bottom w:val="single" w:color="auto" w:sz="4" w:space="0"/>
              <w:right w:val="single" w:color="auto" w:sz="4" w:space="0"/>
            </w:tcBorders>
            <w:vAlign w:val="center"/>
          </w:tcPr>
          <w:p w14:paraId="47000E89">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16</w:t>
            </w:r>
          </w:p>
        </w:tc>
        <w:tc>
          <w:tcPr>
            <w:tcW w:w="3015" w:type="dxa"/>
            <w:tcBorders>
              <w:top w:val="nil"/>
              <w:left w:val="nil"/>
              <w:bottom w:val="single" w:color="auto" w:sz="4" w:space="0"/>
              <w:right w:val="single" w:color="auto" w:sz="4" w:space="0"/>
            </w:tcBorders>
            <w:vAlign w:val="center"/>
          </w:tcPr>
          <w:p w14:paraId="1027AB40">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待机功耗</w:t>
            </w:r>
          </w:p>
        </w:tc>
        <w:tc>
          <w:tcPr>
            <w:tcW w:w="1382" w:type="dxa"/>
            <w:tcBorders>
              <w:top w:val="nil"/>
              <w:left w:val="nil"/>
              <w:bottom w:val="single" w:color="auto" w:sz="4" w:space="0"/>
              <w:right w:val="single" w:color="auto" w:sz="4" w:space="0"/>
            </w:tcBorders>
            <w:vAlign w:val="center"/>
          </w:tcPr>
          <w:p w14:paraId="63215C34">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W</w:t>
            </w:r>
          </w:p>
        </w:tc>
        <w:tc>
          <w:tcPr>
            <w:tcW w:w="3979" w:type="dxa"/>
            <w:tcBorders>
              <w:top w:val="nil"/>
              <w:left w:val="nil"/>
              <w:bottom w:val="single" w:color="auto" w:sz="4" w:space="0"/>
              <w:right w:val="single" w:color="auto" w:sz="4" w:space="0"/>
            </w:tcBorders>
            <w:vAlign w:val="center"/>
          </w:tcPr>
          <w:p w14:paraId="3FCB743F">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整机待机功耗≤300</w:t>
            </w:r>
          </w:p>
        </w:tc>
      </w:tr>
      <w:tr w14:paraId="5A757E6E">
        <w:tblPrEx>
          <w:tblCellMar>
            <w:top w:w="0" w:type="dxa"/>
            <w:left w:w="108" w:type="dxa"/>
            <w:bottom w:w="0" w:type="dxa"/>
            <w:right w:w="108" w:type="dxa"/>
          </w:tblCellMar>
        </w:tblPrEx>
        <w:trPr>
          <w:trHeight w:val="270" w:hRule="atLeast"/>
          <w:jc w:val="center"/>
        </w:trPr>
        <w:tc>
          <w:tcPr>
            <w:tcW w:w="772" w:type="dxa"/>
            <w:tcBorders>
              <w:top w:val="nil"/>
              <w:left w:val="single" w:color="auto" w:sz="4" w:space="0"/>
              <w:bottom w:val="single" w:color="auto" w:sz="4" w:space="0"/>
              <w:right w:val="single" w:color="auto" w:sz="4" w:space="0"/>
            </w:tcBorders>
            <w:vAlign w:val="center"/>
          </w:tcPr>
          <w:p w14:paraId="66409714">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17</w:t>
            </w:r>
          </w:p>
        </w:tc>
        <w:tc>
          <w:tcPr>
            <w:tcW w:w="3015" w:type="dxa"/>
            <w:tcBorders>
              <w:top w:val="nil"/>
              <w:left w:val="nil"/>
              <w:bottom w:val="single" w:color="auto" w:sz="4" w:space="0"/>
              <w:right w:val="single" w:color="auto" w:sz="4" w:space="0"/>
            </w:tcBorders>
            <w:vAlign w:val="center"/>
          </w:tcPr>
          <w:p w14:paraId="7A88499B">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输入冲击电流</w:t>
            </w:r>
          </w:p>
        </w:tc>
        <w:tc>
          <w:tcPr>
            <w:tcW w:w="1382" w:type="dxa"/>
            <w:tcBorders>
              <w:top w:val="nil"/>
              <w:left w:val="nil"/>
              <w:bottom w:val="single" w:color="auto" w:sz="4" w:space="0"/>
              <w:right w:val="single" w:color="auto" w:sz="4" w:space="0"/>
            </w:tcBorders>
            <w:vAlign w:val="center"/>
          </w:tcPr>
          <w:p w14:paraId="61662494">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A</w:t>
            </w:r>
          </w:p>
        </w:tc>
        <w:tc>
          <w:tcPr>
            <w:tcW w:w="3979" w:type="dxa"/>
            <w:tcBorders>
              <w:top w:val="nil"/>
              <w:left w:val="nil"/>
              <w:bottom w:val="single" w:color="auto" w:sz="4" w:space="0"/>
              <w:right w:val="single" w:color="auto" w:sz="4" w:space="0"/>
            </w:tcBorders>
            <w:vAlign w:val="center"/>
          </w:tcPr>
          <w:p w14:paraId="7D3748E9">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≤120%额定输入电流</w:t>
            </w:r>
          </w:p>
        </w:tc>
      </w:tr>
      <w:tr w14:paraId="33D001AE">
        <w:tblPrEx>
          <w:tblCellMar>
            <w:top w:w="0" w:type="dxa"/>
            <w:left w:w="108" w:type="dxa"/>
            <w:bottom w:w="0" w:type="dxa"/>
            <w:right w:w="108" w:type="dxa"/>
          </w:tblCellMar>
        </w:tblPrEx>
        <w:trPr>
          <w:trHeight w:val="270" w:hRule="atLeast"/>
          <w:jc w:val="center"/>
        </w:trPr>
        <w:tc>
          <w:tcPr>
            <w:tcW w:w="772" w:type="dxa"/>
            <w:tcBorders>
              <w:top w:val="nil"/>
              <w:left w:val="single" w:color="auto" w:sz="4" w:space="0"/>
              <w:bottom w:val="single" w:color="auto" w:sz="4" w:space="0"/>
              <w:right w:val="single" w:color="auto" w:sz="4" w:space="0"/>
            </w:tcBorders>
            <w:shd w:val="clear" w:color="auto" w:fill="auto"/>
            <w:vAlign w:val="center"/>
          </w:tcPr>
          <w:p w14:paraId="750CF69B">
            <w:pPr>
              <w:ind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rPr>
              <w:t>18</w:t>
            </w:r>
          </w:p>
        </w:tc>
        <w:tc>
          <w:tcPr>
            <w:tcW w:w="3015" w:type="dxa"/>
            <w:tcBorders>
              <w:top w:val="nil"/>
              <w:left w:val="nil"/>
              <w:bottom w:val="single" w:color="auto" w:sz="4" w:space="0"/>
              <w:right w:val="single" w:color="auto" w:sz="4" w:space="0"/>
            </w:tcBorders>
            <w:vAlign w:val="center"/>
          </w:tcPr>
          <w:p w14:paraId="57E813D8">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输出过冲电压</w:t>
            </w:r>
          </w:p>
        </w:tc>
        <w:tc>
          <w:tcPr>
            <w:tcW w:w="1382" w:type="dxa"/>
            <w:tcBorders>
              <w:top w:val="nil"/>
              <w:left w:val="nil"/>
              <w:bottom w:val="single" w:color="auto" w:sz="4" w:space="0"/>
              <w:right w:val="single" w:color="auto" w:sz="4" w:space="0"/>
            </w:tcBorders>
            <w:vAlign w:val="center"/>
          </w:tcPr>
          <w:p w14:paraId="6274F656">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V</w:t>
            </w:r>
          </w:p>
        </w:tc>
        <w:tc>
          <w:tcPr>
            <w:tcW w:w="3979" w:type="dxa"/>
            <w:tcBorders>
              <w:top w:val="nil"/>
              <w:left w:val="nil"/>
              <w:bottom w:val="single" w:color="auto" w:sz="4" w:space="0"/>
              <w:right w:val="single" w:color="auto" w:sz="4" w:space="0"/>
            </w:tcBorders>
            <w:vAlign w:val="center"/>
          </w:tcPr>
          <w:p w14:paraId="18660B12">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≤110%稳态输出电压</w:t>
            </w:r>
          </w:p>
        </w:tc>
      </w:tr>
      <w:tr w14:paraId="2A6CF829">
        <w:tblPrEx>
          <w:tblCellMar>
            <w:top w:w="0" w:type="dxa"/>
            <w:left w:w="108" w:type="dxa"/>
            <w:bottom w:w="0" w:type="dxa"/>
            <w:right w:w="108" w:type="dxa"/>
          </w:tblCellMar>
        </w:tblPrEx>
        <w:trPr>
          <w:trHeight w:val="270" w:hRule="atLeast"/>
          <w:jc w:val="center"/>
        </w:trPr>
        <w:tc>
          <w:tcPr>
            <w:tcW w:w="772" w:type="dxa"/>
            <w:tcBorders>
              <w:top w:val="nil"/>
              <w:left w:val="single" w:color="auto" w:sz="4" w:space="0"/>
              <w:bottom w:val="single" w:color="auto" w:sz="4" w:space="0"/>
              <w:right w:val="single" w:color="auto" w:sz="4" w:space="0"/>
            </w:tcBorders>
            <w:shd w:val="clear" w:color="auto" w:fill="auto"/>
            <w:vAlign w:val="center"/>
          </w:tcPr>
          <w:p w14:paraId="6F5524B1">
            <w:pPr>
              <w:ind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rPr>
              <w:t>19</w:t>
            </w:r>
          </w:p>
        </w:tc>
        <w:tc>
          <w:tcPr>
            <w:tcW w:w="3015" w:type="dxa"/>
            <w:tcBorders>
              <w:top w:val="nil"/>
              <w:left w:val="nil"/>
              <w:bottom w:val="single" w:color="auto" w:sz="4" w:space="0"/>
              <w:right w:val="single" w:color="auto" w:sz="4" w:space="0"/>
            </w:tcBorders>
            <w:vAlign w:val="center"/>
          </w:tcPr>
          <w:p w14:paraId="59592462">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冷却方式</w:t>
            </w:r>
          </w:p>
        </w:tc>
        <w:tc>
          <w:tcPr>
            <w:tcW w:w="1382" w:type="dxa"/>
            <w:tcBorders>
              <w:top w:val="nil"/>
              <w:left w:val="nil"/>
              <w:bottom w:val="single" w:color="auto" w:sz="4" w:space="0"/>
              <w:right w:val="single" w:color="auto" w:sz="4" w:space="0"/>
            </w:tcBorders>
            <w:vAlign w:val="center"/>
          </w:tcPr>
          <w:p w14:paraId="55D8DE45">
            <w:pPr>
              <w:ind w:firstLine="0" w:firstLineChars="0"/>
              <w:jc w:val="center"/>
              <w:rPr>
                <w:rFonts w:hint="eastAsia" w:ascii="仿宋" w:hAnsi="仿宋" w:eastAsia="仿宋" w:cs="仿宋"/>
                <w:sz w:val="21"/>
                <w:szCs w:val="21"/>
              </w:rPr>
            </w:pPr>
          </w:p>
        </w:tc>
        <w:tc>
          <w:tcPr>
            <w:tcW w:w="3979" w:type="dxa"/>
            <w:tcBorders>
              <w:top w:val="nil"/>
              <w:left w:val="nil"/>
              <w:bottom w:val="single" w:color="auto" w:sz="4" w:space="0"/>
              <w:right w:val="single" w:color="auto" w:sz="4" w:space="0"/>
            </w:tcBorders>
            <w:vAlign w:val="center"/>
          </w:tcPr>
          <w:p w14:paraId="5D80515E">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强迫风冷</w:t>
            </w:r>
          </w:p>
        </w:tc>
      </w:tr>
      <w:tr w14:paraId="6E947A39">
        <w:tblPrEx>
          <w:tblCellMar>
            <w:top w:w="0" w:type="dxa"/>
            <w:left w:w="108" w:type="dxa"/>
            <w:bottom w:w="0" w:type="dxa"/>
            <w:right w:w="108" w:type="dxa"/>
          </w:tblCellMar>
        </w:tblPrEx>
        <w:trPr>
          <w:trHeight w:val="270" w:hRule="atLeast"/>
          <w:jc w:val="center"/>
        </w:trPr>
        <w:tc>
          <w:tcPr>
            <w:tcW w:w="772" w:type="dxa"/>
            <w:tcBorders>
              <w:top w:val="nil"/>
              <w:left w:val="single" w:color="auto" w:sz="4" w:space="0"/>
              <w:bottom w:val="single" w:color="auto" w:sz="4" w:space="0"/>
              <w:right w:val="single" w:color="auto" w:sz="4" w:space="0"/>
            </w:tcBorders>
            <w:shd w:val="clear" w:color="auto" w:fill="auto"/>
            <w:vAlign w:val="center"/>
          </w:tcPr>
          <w:p w14:paraId="2374343B">
            <w:pPr>
              <w:ind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rPr>
              <w:t>20</w:t>
            </w:r>
          </w:p>
        </w:tc>
        <w:tc>
          <w:tcPr>
            <w:tcW w:w="3015" w:type="dxa"/>
            <w:tcBorders>
              <w:top w:val="nil"/>
              <w:left w:val="nil"/>
              <w:bottom w:val="single" w:color="auto" w:sz="4" w:space="0"/>
              <w:right w:val="single" w:color="auto" w:sz="4" w:space="0"/>
            </w:tcBorders>
            <w:vAlign w:val="center"/>
          </w:tcPr>
          <w:p w14:paraId="6C8D96CD">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防护等级</w:t>
            </w:r>
          </w:p>
        </w:tc>
        <w:tc>
          <w:tcPr>
            <w:tcW w:w="1382" w:type="dxa"/>
            <w:tcBorders>
              <w:top w:val="nil"/>
              <w:left w:val="nil"/>
              <w:bottom w:val="single" w:color="auto" w:sz="4" w:space="0"/>
              <w:right w:val="single" w:color="auto" w:sz="4" w:space="0"/>
            </w:tcBorders>
            <w:vAlign w:val="center"/>
          </w:tcPr>
          <w:p w14:paraId="2B30B7A3">
            <w:pPr>
              <w:ind w:firstLine="0" w:firstLineChars="0"/>
              <w:jc w:val="center"/>
              <w:rPr>
                <w:rFonts w:hint="eastAsia" w:ascii="仿宋" w:hAnsi="仿宋" w:eastAsia="仿宋" w:cs="仿宋"/>
                <w:sz w:val="21"/>
                <w:szCs w:val="21"/>
              </w:rPr>
            </w:pPr>
          </w:p>
        </w:tc>
        <w:tc>
          <w:tcPr>
            <w:tcW w:w="3979" w:type="dxa"/>
            <w:tcBorders>
              <w:top w:val="nil"/>
              <w:left w:val="nil"/>
              <w:bottom w:val="single" w:color="auto" w:sz="4" w:space="0"/>
              <w:right w:val="single" w:color="auto" w:sz="4" w:space="0"/>
            </w:tcBorders>
            <w:vAlign w:val="center"/>
          </w:tcPr>
          <w:p w14:paraId="71C688D1">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IP54</w:t>
            </w:r>
          </w:p>
        </w:tc>
      </w:tr>
      <w:tr w14:paraId="503FC24C">
        <w:tblPrEx>
          <w:tblCellMar>
            <w:top w:w="0" w:type="dxa"/>
            <w:left w:w="108" w:type="dxa"/>
            <w:bottom w:w="0" w:type="dxa"/>
            <w:right w:w="108" w:type="dxa"/>
          </w:tblCellMar>
        </w:tblPrEx>
        <w:trPr>
          <w:trHeight w:val="270" w:hRule="atLeast"/>
          <w:jc w:val="center"/>
        </w:trPr>
        <w:tc>
          <w:tcPr>
            <w:tcW w:w="772" w:type="dxa"/>
            <w:tcBorders>
              <w:top w:val="nil"/>
              <w:left w:val="single" w:color="auto" w:sz="4" w:space="0"/>
              <w:bottom w:val="single" w:color="auto" w:sz="4" w:space="0"/>
              <w:right w:val="single" w:color="auto" w:sz="4" w:space="0"/>
            </w:tcBorders>
            <w:shd w:val="clear" w:color="auto" w:fill="auto"/>
            <w:vAlign w:val="center"/>
          </w:tcPr>
          <w:p w14:paraId="38E53D01">
            <w:pPr>
              <w:ind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rPr>
              <w:t>21</w:t>
            </w:r>
          </w:p>
        </w:tc>
        <w:tc>
          <w:tcPr>
            <w:tcW w:w="3015" w:type="dxa"/>
            <w:tcBorders>
              <w:top w:val="nil"/>
              <w:left w:val="nil"/>
              <w:bottom w:val="single" w:color="auto" w:sz="4" w:space="0"/>
              <w:right w:val="single" w:color="auto" w:sz="4" w:space="0"/>
            </w:tcBorders>
            <w:vAlign w:val="center"/>
          </w:tcPr>
          <w:p w14:paraId="0BD3B677">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噪声</w:t>
            </w:r>
          </w:p>
        </w:tc>
        <w:tc>
          <w:tcPr>
            <w:tcW w:w="1382" w:type="dxa"/>
            <w:tcBorders>
              <w:top w:val="nil"/>
              <w:left w:val="nil"/>
              <w:bottom w:val="single" w:color="auto" w:sz="4" w:space="0"/>
              <w:right w:val="single" w:color="auto" w:sz="4" w:space="0"/>
            </w:tcBorders>
            <w:vAlign w:val="center"/>
          </w:tcPr>
          <w:p w14:paraId="5516A25A">
            <w:pPr>
              <w:ind w:firstLine="0" w:firstLineChars="0"/>
              <w:jc w:val="center"/>
              <w:rPr>
                <w:rFonts w:hint="eastAsia" w:ascii="仿宋" w:hAnsi="仿宋" w:eastAsia="仿宋" w:cs="仿宋"/>
                <w:sz w:val="21"/>
                <w:szCs w:val="21"/>
              </w:rPr>
            </w:pPr>
          </w:p>
        </w:tc>
        <w:tc>
          <w:tcPr>
            <w:tcW w:w="3979" w:type="dxa"/>
            <w:tcBorders>
              <w:top w:val="nil"/>
              <w:left w:val="nil"/>
              <w:bottom w:val="single" w:color="auto" w:sz="4" w:space="0"/>
              <w:right w:val="single" w:color="auto" w:sz="4" w:space="0"/>
            </w:tcBorders>
            <w:vAlign w:val="center"/>
          </w:tcPr>
          <w:p w14:paraId="7011C631">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≤65dB</w:t>
            </w:r>
          </w:p>
        </w:tc>
      </w:tr>
      <w:tr w14:paraId="00E53F3B">
        <w:tblPrEx>
          <w:tblCellMar>
            <w:top w:w="0" w:type="dxa"/>
            <w:left w:w="108" w:type="dxa"/>
            <w:bottom w:w="0" w:type="dxa"/>
            <w:right w:w="108" w:type="dxa"/>
          </w:tblCellMar>
        </w:tblPrEx>
        <w:trPr>
          <w:trHeight w:val="270" w:hRule="atLeast"/>
          <w:jc w:val="center"/>
        </w:trPr>
        <w:tc>
          <w:tcPr>
            <w:tcW w:w="772" w:type="dxa"/>
            <w:tcBorders>
              <w:top w:val="nil"/>
              <w:left w:val="single" w:color="auto" w:sz="4" w:space="0"/>
              <w:bottom w:val="single" w:color="auto" w:sz="4" w:space="0"/>
              <w:right w:val="single" w:color="auto" w:sz="4" w:space="0"/>
            </w:tcBorders>
            <w:shd w:val="clear" w:color="auto" w:fill="auto"/>
            <w:vAlign w:val="center"/>
          </w:tcPr>
          <w:p w14:paraId="2343249B">
            <w:pPr>
              <w:ind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rPr>
              <w:t>22</w:t>
            </w:r>
          </w:p>
        </w:tc>
        <w:tc>
          <w:tcPr>
            <w:tcW w:w="3015" w:type="dxa"/>
            <w:tcBorders>
              <w:top w:val="nil"/>
              <w:left w:val="nil"/>
              <w:bottom w:val="single" w:color="auto" w:sz="4" w:space="0"/>
              <w:right w:val="single" w:color="auto" w:sz="4" w:space="0"/>
            </w:tcBorders>
            <w:vAlign w:val="center"/>
          </w:tcPr>
          <w:p w14:paraId="2F2E9E86">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振荡波抗扰度</w:t>
            </w:r>
          </w:p>
        </w:tc>
        <w:tc>
          <w:tcPr>
            <w:tcW w:w="1382" w:type="dxa"/>
            <w:tcBorders>
              <w:top w:val="nil"/>
              <w:left w:val="nil"/>
              <w:bottom w:val="single" w:color="auto" w:sz="4" w:space="0"/>
              <w:right w:val="single" w:color="auto" w:sz="4" w:space="0"/>
            </w:tcBorders>
            <w:vAlign w:val="center"/>
          </w:tcPr>
          <w:p w14:paraId="66743782">
            <w:pPr>
              <w:ind w:firstLine="0" w:firstLineChars="0"/>
              <w:jc w:val="center"/>
              <w:rPr>
                <w:rFonts w:hint="eastAsia" w:ascii="仿宋" w:hAnsi="仿宋" w:eastAsia="仿宋" w:cs="仿宋"/>
                <w:sz w:val="21"/>
                <w:szCs w:val="21"/>
              </w:rPr>
            </w:pPr>
          </w:p>
        </w:tc>
        <w:tc>
          <w:tcPr>
            <w:tcW w:w="3979" w:type="dxa"/>
            <w:tcBorders>
              <w:top w:val="nil"/>
              <w:left w:val="nil"/>
              <w:bottom w:val="single" w:color="auto" w:sz="4" w:space="0"/>
              <w:right w:val="single" w:color="auto" w:sz="4" w:space="0"/>
            </w:tcBorders>
            <w:vAlign w:val="center"/>
          </w:tcPr>
          <w:p w14:paraId="0FCAFC7C">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3级（1MHz和100kHz）</w:t>
            </w:r>
          </w:p>
        </w:tc>
      </w:tr>
      <w:tr w14:paraId="60D906C1">
        <w:tblPrEx>
          <w:tblCellMar>
            <w:top w:w="0" w:type="dxa"/>
            <w:left w:w="108" w:type="dxa"/>
            <w:bottom w:w="0" w:type="dxa"/>
            <w:right w:w="108" w:type="dxa"/>
          </w:tblCellMar>
        </w:tblPrEx>
        <w:trPr>
          <w:trHeight w:val="270" w:hRule="atLeast"/>
          <w:jc w:val="center"/>
        </w:trPr>
        <w:tc>
          <w:tcPr>
            <w:tcW w:w="772" w:type="dxa"/>
            <w:tcBorders>
              <w:top w:val="nil"/>
              <w:left w:val="single" w:color="auto" w:sz="4" w:space="0"/>
              <w:bottom w:val="single" w:color="auto" w:sz="4" w:space="0"/>
              <w:right w:val="single" w:color="auto" w:sz="4" w:space="0"/>
            </w:tcBorders>
            <w:vAlign w:val="center"/>
          </w:tcPr>
          <w:p w14:paraId="34FD9F84">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23</w:t>
            </w:r>
          </w:p>
        </w:tc>
        <w:tc>
          <w:tcPr>
            <w:tcW w:w="3015" w:type="dxa"/>
            <w:tcBorders>
              <w:top w:val="nil"/>
              <w:left w:val="nil"/>
              <w:bottom w:val="single" w:color="auto" w:sz="4" w:space="0"/>
              <w:right w:val="single" w:color="auto" w:sz="4" w:space="0"/>
            </w:tcBorders>
            <w:vAlign w:val="center"/>
          </w:tcPr>
          <w:p w14:paraId="4350D476">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静电放电抗扰度</w:t>
            </w:r>
          </w:p>
        </w:tc>
        <w:tc>
          <w:tcPr>
            <w:tcW w:w="1382" w:type="dxa"/>
            <w:tcBorders>
              <w:top w:val="nil"/>
              <w:left w:val="nil"/>
              <w:bottom w:val="single" w:color="auto" w:sz="4" w:space="0"/>
              <w:right w:val="single" w:color="auto" w:sz="4" w:space="0"/>
            </w:tcBorders>
            <w:vAlign w:val="center"/>
          </w:tcPr>
          <w:p w14:paraId="07217FE1">
            <w:pPr>
              <w:ind w:firstLine="0" w:firstLineChars="0"/>
              <w:jc w:val="center"/>
              <w:rPr>
                <w:rFonts w:hint="eastAsia" w:ascii="仿宋" w:hAnsi="仿宋" w:eastAsia="仿宋" w:cs="仿宋"/>
                <w:sz w:val="21"/>
                <w:szCs w:val="21"/>
              </w:rPr>
            </w:pPr>
          </w:p>
        </w:tc>
        <w:tc>
          <w:tcPr>
            <w:tcW w:w="3979" w:type="dxa"/>
            <w:tcBorders>
              <w:top w:val="nil"/>
              <w:left w:val="nil"/>
              <w:bottom w:val="single" w:color="auto" w:sz="4" w:space="0"/>
              <w:right w:val="single" w:color="auto" w:sz="4" w:space="0"/>
            </w:tcBorders>
            <w:vAlign w:val="center"/>
          </w:tcPr>
          <w:p w14:paraId="73C7FB5D">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3级</w:t>
            </w:r>
          </w:p>
        </w:tc>
      </w:tr>
      <w:tr w14:paraId="4FF77E60">
        <w:tblPrEx>
          <w:tblCellMar>
            <w:top w:w="0" w:type="dxa"/>
            <w:left w:w="108" w:type="dxa"/>
            <w:bottom w:w="0" w:type="dxa"/>
            <w:right w:w="108" w:type="dxa"/>
          </w:tblCellMar>
        </w:tblPrEx>
        <w:trPr>
          <w:trHeight w:val="450" w:hRule="atLeast"/>
          <w:jc w:val="center"/>
        </w:trPr>
        <w:tc>
          <w:tcPr>
            <w:tcW w:w="772" w:type="dxa"/>
            <w:tcBorders>
              <w:top w:val="nil"/>
              <w:left w:val="single" w:color="auto" w:sz="4" w:space="0"/>
              <w:bottom w:val="single" w:color="auto" w:sz="4" w:space="0"/>
              <w:right w:val="single" w:color="auto" w:sz="4" w:space="0"/>
            </w:tcBorders>
            <w:vAlign w:val="center"/>
          </w:tcPr>
          <w:p w14:paraId="392E3FC5">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24</w:t>
            </w:r>
          </w:p>
        </w:tc>
        <w:tc>
          <w:tcPr>
            <w:tcW w:w="3015" w:type="dxa"/>
            <w:tcBorders>
              <w:top w:val="nil"/>
              <w:left w:val="nil"/>
              <w:bottom w:val="single" w:color="auto" w:sz="4" w:space="0"/>
              <w:right w:val="single" w:color="auto" w:sz="4" w:space="0"/>
            </w:tcBorders>
            <w:vAlign w:val="center"/>
          </w:tcPr>
          <w:p w14:paraId="5464EB65">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射频电磁场辐射抗扰度</w:t>
            </w:r>
          </w:p>
        </w:tc>
        <w:tc>
          <w:tcPr>
            <w:tcW w:w="1382" w:type="dxa"/>
            <w:tcBorders>
              <w:top w:val="nil"/>
              <w:left w:val="nil"/>
              <w:bottom w:val="single" w:color="auto" w:sz="4" w:space="0"/>
              <w:right w:val="single" w:color="auto" w:sz="4" w:space="0"/>
            </w:tcBorders>
            <w:vAlign w:val="center"/>
          </w:tcPr>
          <w:p w14:paraId="4FFD14BE">
            <w:pPr>
              <w:ind w:firstLine="0" w:firstLineChars="0"/>
              <w:jc w:val="center"/>
              <w:rPr>
                <w:rFonts w:hint="eastAsia" w:ascii="仿宋" w:hAnsi="仿宋" w:eastAsia="仿宋" w:cs="仿宋"/>
                <w:sz w:val="21"/>
                <w:szCs w:val="21"/>
              </w:rPr>
            </w:pPr>
          </w:p>
        </w:tc>
        <w:tc>
          <w:tcPr>
            <w:tcW w:w="3979" w:type="dxa"/>
            <w:tcBorders>
              <w:top w:val="nil"/>
              <w:left w:val="nil"/>
              <w:bottom w:val="single" w:color="auto" w:sz="4" w:space="0"/>
              <w:right w:val="single" w:color="auto" w:sz="4" w:space="0"/>
            </w:tcBorders>
            <w:vAlign w:val="center"/>
          </w:tcPr>
          <w:p w14:paraId="2424AEB3">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3级</w:t>
            </w:r>
          </w:p>
        </w:tc>
      </w:tr>
      <w:tr w14:paraId="2136685F">
        <w:tblPrEx>
          <w:tblCellMar>
            <w:top w:w="0" w:type="dxa"/>
            <w:left w:w="108" w:type="dxa"/>
            <w:bottom w:w="0" w:type="dxa"/>
            <w:right w:w="108" w:type="dxa"/>
          </w:tblCellMar>
        </w:tblPrEx>
        <w:trPr>
          <w:trHeight w:val="450" w:hRule="atLeast"/>
          <w:jc w:val="center"/>
        </w:trPr>
        <w:tc>
          <w:tcPr>
            <w:tcW w:w="772" w:type="dxa"/>
            <w:tcBorders>
              <w:top w:val="nil"/>
              <w:left w:val="single" w:color="auto" w:sz="4" w:space="0"/>
              <w:bottom w:val="single" w:color="auto" w:sz="4" w:space="0"/>
              <w:right w:val="single" w:color="auto" w:sz="4" w:space="0"/>
            </w:tcBorders>
            <w:vAlign w:val="center"/>
          </w:tcPr>
          <w:p w14:paraId="49D982B4">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25</w:t>
            </w:r>
          </w:p>
        </w:tc>
        <w:tc>
          <w:tcPr>
            <w:tcW w:w="3015" w:type="dxa"/>
            <w:tcBorders>
              <w:top w:val="nil"/>
              <w:left w:val="nil"/>
              <w:bottom w:val="single" w:color="auto" w:sz="4" w:space="0"/>
              <w:right w:val="single" w:color="auto" w:sz="4" w:space="0"/>
            </w:tcBorders>
            <w:vAlign w:val="center"/>
          </w:tcPr>
          <w:p w14:paraId="492EF7EC">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电快速瞬变脉冲群抗扰度</w:t>
            </w:r>
          </w:p>
        </w:tc>
        <w:tc>
          <w:tcPr>
            <w:tcW w:w="1382" w:type="dxa"/>
            <w:tcBorders>
              <w:top w:val="nil"/>
              <w:left w:val="nil"/>
              <w:bottom w:val="single" w:color="auto" w:sz="4" w:space="0"/>
              <w:right w:val="single" w:color="auto" w:sz="4" w:space="0"/>
            </w:tcBorders>
            <w:vAlign w:val="center"/>
          </w:tcPr>
          <w:p w14:paraId="28D7FAF3">
            <w:pPr>
              <w:ind w:firstLine="0" w:firstLineChars="0"/>
              <w:jc w:val="center"/>
              <w:rPr>
                <w:rFonts w:hint="eastAsia" w:ascii="仿宋" w:hAnsi="仿宋" w:eastAsia="仿宋" w:cs="仿宋"/>
                <w:sz w:val="21"/>
                <w:szCs w:val="21"/>
              </w:rPr>
            </w:pPr>
          </w:p>
        </w:tc>
        <w:tc>
          <w:tcPr>
            <w:tcW w:w="3979" w:type="dxa"/>
            <w:tcBorders>
              <w:top w:val="nil"/>
              <w:left w:val="nil"/>
              <w:bottom w:val="single" w:color="auto" w:sz="4" w:space="0"/>
              <w:right w:val="single" w:color="auto" w:sz="4" w:space="0"/>
            </w:tcBorders>
            <w:vAlign w:val="center"/>
          </w:tcPr>
          <w:p w14:paraId="16709ACD">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3级</w:t>
            </w:r>
          </w:p>
        </w:tc>
      </w:tr>
      <w:tr w14:paraId="669751E0">
        <w:tblPrEx>
          <w:tblCellMar>
            <w:top w:w="0" w:type="dxa"/>
            <w:left w:w="108" w:type="dxa"/>
            <w:bottom w:w="0" w:type="dxa"/>
            <w:right w:w="108" w:type="dxa"/>
          </w:tblCellMar>
        </w:tblPrEx>
        <w:trPr>
          <w:trHeight w:val="450" w:hRule="atLeast"/>
          <w:jc w:val="center"/>
        </w:trPr>
        <w:tc>
          <w:tcPr>
            <w:tcW w:w="772" w:type="dxa"/>
            <w:tcBorders>
              <w:top w:val="nil"/>
              <w:left w:val="single" w:color="auto" w:sz="4" w:space="0"/>
              <w:bottom w:val="single" w:color="auto" w:sz="4" w:space="0"/>
              <w:right w:val="single" w:color="auto" w:sz="4" w:space="0"/>
            </w:tcBorders>
            <w:vAlign w:val="center"/>
          </w:tcPr>
          <w:p w14:paraId="6C3167E3">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26</w:t>
            </w:r>
          </w:p>
        </w:tc>
        <w:tc>
          <w:tcPr>
            <w:tcW w:w="3015" w:type="dxa"/>
            <w:tcBorders>
              <w:top w:val="nil"/>
              <w:left w:val="nil"/>
              <w:bottom w:val="single" w:color="auto" w:sz="4" w:space="0"/>
              <w:right w:val="single" w:color="auto" w:sz="4" w:space="0"/>
            </w:tcBorders>
            <w:vAlign w:val="center"/>
          </w:tcPr>
          <w:p w14:paraId="20FC94DE">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浪涌（冲击）抗扰度</w:t>
            </w:r>
          </w:p>
        </w:tc>
        <w:tc>
          <w:tcPr>
            <w:tcW w:w="1382" w:type="dxa"/>
            <w:tcBorders>
              <w:top w:val="nil"/>
              <w:left w:val="nil"/>
              <w:bottom w:val="single" w:color="auto" w:sz="4" w:space="0"/>
              <w:right w:val="single" w:color="auto" w:sz="4" w:space="0"/>
            </w:tcBorders>
            <w:vAlign w:val="center"/>
          </w:tcPr>
          <w:p w14:paraId="5B983721">
            <w:pPr>
              <w:ind w:firstLine="0" w:firstLineChars="0"/>
              <w:jc w:val="center"/>
              <w:rPr>
                <w:rFonts w:hint="eastAsia" w:ascii="仿宋" w:hAnsi="仿宋" w:eastAsia="仿宋" w:cs="仿宋"/>
                <w:sz w:val="21"/>
                <w:szCs w:val="21"/>
              </w:rPr>
            </w:pPr>
          </w:p>
        </w:tc>
        <w:tc>
          <w:tcPr>
            <w:tcW w:w="3979" w:type="dxa"/>
            <w:tcBorders>
              <w:top w:val="nil"/>
              <w:left w:val="nil"/>
              <w:bottom w:val="single" w:color="auto" w:sz="4" w:space="0"/>
              <w:right w:val="single" w:color="auto" w:sz="4" w:space="0"/>
            </w:tcBorders>
            <w:vAlign w:val="center"/>
          </w:tcPr>
          <w:p w14:paraId="0E979224">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3级</w:t>
            </w:r>
          </w:p>
        </w:tc>
      </w:tr>
      <w:tr w14:paraId="05D21CCF">
        <w:tblPrEx>
          <w:tblCellMar>
            <w:top w:w="0" w:type="dxa"/>
            <w:left w:w="108" w:type="dxa"/>
            <w:bottom w:w="0" w:type="dxa"/>
            <w:right w:w="108" w:type="dxa"/>
          </w:tblCellMar>
        </w:tblPrEx>
        <w:trPr>
          <w:trHeight w:val="450" w:hRule="atLeast"/>
          <w:jc w:val="center"/>
        </w:trPr>
        <w:tc>
          <w:tcPr>
            <w:tcW w:w="772" w:type="dxa"/>
            <w:tcBorders>
              <w:top w:val="nil"/>
              <w:left w:val="single" w:color="auto" w:sz="4" w:space="0"/>
              <w:bottom w:val="single" w:color="auto" w:sz="4" w:space="0"/>
              <w:right w:val="single" w:color="auto" w:sz="4" w:space="0"/>
            </w:tcBorders>
            <w:vAlign w:val="center"/>
          </w:tcPr>
          <w:p w14:paraId="701289F0">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27</w:t>
            </w:r>
          </w:p>
        </w:tc>
        <w:tc>
          <w:tcPr>
            <w:tcW w:w="3015" w:type="dxa"/>
            <w:tcBorders>
              <w:top w:val="nil"/>
              <w:left w:val="nil"/>
              <w:bottom w:val="single" w:color="auto" w:sz="4" w:space="0"/>
              <w:right w:val="single" w:color="auto" w:sz="4" w:space="0"/>
            </w:tcBorders>
            <w:vAlign w:val="center"/>
          </w:tcPr>
          <w:p w14:paraId="194C8A27">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射频场感应的传导骚扰抗扰度</w:t>
            </w:r>
          </w:p>
        </w:tc>
        <w:tc>
          <w:tcPr>
            <w:tcW w:w="1382" w:type="dxa"/>
            <w:tcBorders>
              <w:top w:val="nil"/>
              <w:left w:val="nil"/>
              <w:bottom w:val="single" w:color="auto" w:sz="4" w:space="0"/>
              <w:right w:val="single" w:color="auto" w:sz="4" w:space="0"/>
            </w:tcBorders>
            <w:vAlign w:val="center"/>
          </w:tcPr>
          <w:p w14:paraId="575A94ED">
            <w:pPr>
              <w:ind w:firstLine="0" w:firstLineChars="0"/>
              <w:jc w:val="center"/>
              <w:rPr>
                <w:rFonts w:hint="eastAsia" w:ascii="仿宋" w:hAnsi="仿宋" w:eastAsia="仿宋" w:cs="仿宋"/>
                <w:sz w:val="21"/>
                <w:szCs w:val="21"/>
              </w:rPr>
            </w:pPr>
          </w:p>
        </w:tc>
        <w:tc>
          <w:tcPr>
            <w:tcW w:w="3979" w:type="dxa"/>
            <w:tcBorders>
              <w:top w:val="nil"/>
              <w:left w:val="nil"/>
              <w:bottom w:val="single" w:color="auto" w:sz="4" w:space="0"/>
              <w:right w:val="single" w:color="auto" w:sz="4" w:space="0"/>
            </w:tcBorders>
            <w:vAlign w:val="center"/>
          </w:tcPr>
          <w:p w14:paraId="63CA63D4">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3级</w:t>
            </w:r>
          </w:p>
        </w:tc>
      </w:tr>
      <w:tr w14:paraId="1F689E09">
        <w:tblPrEx>
          <w:tblCellMar>
            <w:top w:w="0" w:type="dxa"/>
            <w:left w:w="108" w:type="dxa"/>
            <w:bottom w:w="0" w:type="dxa"/>
            <w:right w:w="108" w:type="dxa"/>
          </w:tblCellMar>
        </w:tblPrEx>
        <w:trPr>
          <w:trHeight w:val="450" w:hRule="atLeast"/>
          <w:jc w:val="center"/>
        </w:trPr>
        <w:tc>
          <w:tcPr>
            <w:tcW w:w="772" w:type="dxa"/>
            <w:tcBorders>
              <w:top w:val="single" w:color="auto" w:sz="4" w:space="0"/>
              <w:left w:val="single" w:color="auto" w:sz="4" w:space="0"/>
              <w:bottom w:val="single" w:color="auto" w:sz="4" w:space="0"/>
              <w:right w:val="single" w:color="auto" w:sz="4" w:space="0"/>
            </w:tcBorders>
            <w:vAlign w:val="center"/>
          </w:tcPr>
          <w:p w14:paraId="50847CF9">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28</w:t>
            </w:r>
          </w:p>
        </w:tc>
        <w:tc>
          <w:tcPr>
            <w:tcW w:w="3015" w:type="dxa"/>
            <w:tcBorders>
              <w:top w:val="single" w:color="auto" w:sz="4" w:space="0"/>
              <w:left w:val="single" w:color="auto" w:sz="4" w:space="0"/>
              <w:bottom w:val="single" w:color="auto" w:sz="4" w:space="0"/>
              <w:right w:val="single" w:color="auto" w:sz="4" w:space="0"/>
            </w:tcBorders>
            <w:vAlign w:val="center"/>
          </w:tcPr>
          <w:p w14:paraId="1FC629F7">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谐波电流限值要求（THD）</w:t>
            </w:r>
          </w:p>
        </w:tc>
        <w:tc>
          <w:tcPr>
            <w:tcW w:w="1382" w:type="dxa"/>
            <w:tcBorders>
              <w:top w:val="single" w:color="auto" w:sz="4" w:space="0"/>
              <w:left w:val="single" w:color="auto" w:sz="4" w:space="0"/>
              <w:bottom w:val="single" w:color="auto" w:sz="4" w:space="0"/>
              <w:right w:val="single" w:color="auto" w:sz="4" w:space="0"/>
            </w:tcBorders>
            <w:vAlign w:val="center"/>
          </w:tcPr>
          <w:p w14:paraId="503E27C1">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w:t>
            </w:r>
          </w:p>
        </w:tc>
        <w:tc>
          <w:tcPr>
            <w:tcW w:w="3979" w:type="dxa"/>
            <w:tcBorders>
              <w:top w:val="single" w:color="auto" w:sz="4" w:space="0"/>
              <w:left w:val="single" w:color="auto" w:sz="4" w:space="0"/>
              <w:bottom w:val="single" w:color="auto" w:sz="4" w:space="0"/>
              <w:right w:val="single" w:color="auto" w:sz="4" w:space="0"/>
            </w:tcBorders>
            <w:vAlign w:val="center"/>
          </w:tcPr>
          <w:p w14:paraId="0F42EB80">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≤5</w:t>
            </w:r>
          </w:p>
        </w:tc>
      </w:tr>
    </w:tbl>
    <w:p w14:paraId="7E7C89EB">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br w:type="page"/>
      </w:r>
    </w:p>
    <w:p w14:paraId="38F73EFE">
      <w:pPr>
        <w:keepNext w:val="0"/>
        <w:keepLines w:val="0"/>
        <w:pageBreakBefore w:val="0"/>
        <w:widowControl w:val="0"/>
        <w:kinsoku/>
        <w:wordWrap/>
        <w:overflowPunct/>
        <w:topLinePunct w:val="0"/>
        <w:autoSpaceDE/>
        <w:autoSpaceDN/>
        <w:bidi w:val="0"/>
        <w:adjustRightInd/>
        <w:snapToGrid/>
        <w:spacing w:before="157" w:beforeLines="50"/>
        <w:ind w:firstLine="42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充电终端技术参数</w:t>
      </w:r>
    </w:p>
    <w:tbl>
      <w:tblPr>
        <w:tblStyle w:val="6"/>
        <w:tblW w:w="491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9"/>
        <w:gridCol w:w="3010"/>
        <w:gridCol w:w="1395"/>
        <w:gridCol w:w="3964"/>
      </w:tblGrid>
      <w:tr w14:paraId="5B3BE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1" w:type="pct"/>
            <w:vAlign w:val="center"/>
          </w:tcPr>
          <w:p w14:paraId="438B65A4">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序号</w:t>
            </w:r>
          </w:p>
        </w:tc>
        <w:tc>
          <w:tcPr>
            <w:tcW w:w="1646" w:type="pct"/>
            <w:vAlign w:val="center"/>
          </w:tcPr>
          <w:p w14:paraId="1B1931F4">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类目</w:t>
            </w:r>
          </w:p>
        </w:tc>
        <w:tc>
          <w:tcPr>
            <w:tcW w:w="763" w:type="pct"/>
            <w:vAlign w:val="center"/>
          </w:tcPr>
          <w:p w14:paraId="1FEDE867">
            <w:pPr>
              <w:ind w:firstLine="0" w:firstLineChars="0"/>
              <w:jc w:val="center"/>
              <w:rPr>
                <w:rFonts w:hint="eastAsia" w:ascii="仿宋" w:hAnsi="仿宋" w:eastAsia="仿宋" w:cs="仿宋"/>
                <w:sz w:val="21"/>
                <w:szCs w:val="21"/>
              </w:rPr>
            </w:pPr>
            <w:r>
              <w:rPr>
                <w:rFonts w:hint="eastAsia" w:ascii="仿宋" w:hAnsi="仿宋" w:eastAsia="仿宋" w:cs="仿宋"/>
                <w:sz w:val="21"/>
                <w:szCs w:val="21"/>
              </w:rPr>
              <w:t>单位</w:t>
            </w:r>
          </w:p>
        </w:tc>
        <w:tc>
          <w:tcPr>
            <w:tcW w:w="2168" w:type="pct"/>
            <w:vAlign w:val="center"/>
          </w:tcPr>
          <w:p w14:paraId="13F79996">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rPr>
              <w:t>技术参数要求</w:t>
            </w:r>
          </w:p>
        </w:tc>
      </w:tr>
      <w:tr w14:paraId="4E4EB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1" w:type="pct"/>
            <w:vAlign w:val="center"/>
          </w:tcPr>
          <w:p w14:paraId="757CBAA8">
            <w:pPr>
              <w:ind w:firstLine="0" w:firstLineChars="0"/>
              <w:jc w:val="center"/>
              <w:rPr>
                <w:rFonts w:hint="eastAsia" w:ascii="仿宋" w:hAnsi="仿宋" w:eastAsia="仿宋" w:cs="仿宋"/>
                <w:sz w:val="21"/>
                <w:szCs w:val="21"/>
                <w:lang w:val="en-US" w:eastAsia="zh-CN"/>
              </w:rPr>
            </w:pPr>
            <w:bookmarkStart w:id="0" w:name="_GoBack" w:colFirst="1" w:colLast="3"/>
            <w:r>
              <w:rPr>
                <w:rFonts w:hint="eastAsia" w:ascii="仿宋" w:hAnsi="仿宋" w:eastAsia="仿宋" w:cs="仿宋"/>
                <w:sz w:val="21"/>
                <w:szCs w:val="21"/>
                <w:lang w:val="en-US" w:eastAsia="zh-CN"/>
              </w:rPr>
              <w:t>1</w:t>
            </w:r>
          </w:p>
        </w:tc>
        <w:tc>
          <w:tcPr>
            <w:tcW w:w="1646" w:type="pct"/>
            <w:vAlign w:val="center"/>
          </w:tcPr>
          <w:p w14:paraId="64CC3698">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color w:val="auto"/>
                <w:sz w:val="21"/>
                <w:szCs w:val="21"/>
                <w:highlight w:val="none"/>
              </w:rPr>
              <w:t>最大输出电流</w:t>
            </w:r>
          </w:p>
        </w:tc>
        <w:tc>
          <w:tcPr>
            <w:tcW w:w="763" w:type="pct"/>
            <w:vAlign w:val="center"/>
          </w:tcPr>
          <w:p w14:paraId="0826E048">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A</w:t>
            </w:r>
          </w:p>
        </w:tc>
        <w:tc>
          <w:tcPr>
            <w:tcW w:w="2168" w:type="pct"/>
            <w:vAlign w:val="center"/>
          </w:tcPr>
          <w:p w14:paraId="2143F79C">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250</w:t>
            </w:r>
          </w:p>
        </w:tc>
      </w:tr>
      <w:tr w14:paraId="4E111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21" w:type="pct"/>
            <w:vAlign w:val="center"/>
          </w:tcPr>
          <w:p w14:paraId="1C8ADAA7">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w:t>
            </w:r>
          </w:p>
        </w:tc>
        <w:tc>
          <w:tcPr>
            <w:tcW w:w="1646" w:type="pct"/>
            <w:vAlign w:val="center"/>
          </w:tcPr>
          <w:p w14:paraId="392E28AC">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工作温度</w:t>
            </w:r>
          </w:p>
        </w:tc>
        <w:tc>
          <w:tcPr>
            <w:tcW w:w="763" w:type="pct"/>
            <w:vAlign w:val="center"/>
          </w:tcPr>
          <w:p w14:paraId="57D222B1">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w:t>
            </w:r>
          </w:p>
        </w:tc>
        <w:tc>
          <w:tcPr>
            <w:tcW w:w="2168" w:type="pct"/>
            <w:vAlign w:val="center"/>
          </w:tcPr>
          <w:p w14:paraId="50E20E41">
            <w:pPr>
              <w:ind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30～+</w:t>
            </w:r>
            <w:r>
              <w:rPr>
                <w:rFonts w:hint="eastAsia" w:ascii="仿宋" w:hAnsi="仿宋" w:eastAsia="仿宋" w:cs="仿宋"/>
                <w:color w:val="auto"/>
                <w:sz w:val="21"/>
                <w:szCs w:val="21"/>
                <w:highlight w:val="none"/>
              </w:rPr>
              <w:t>50</w:t>
            </w:r>
          </w:p>
        </w:tc>
      </w:tr>
      <w:tr w14:paraId="5D805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21" w:type="pct"/>
            <w:vAlign w:val="center"/>
          </w:tcPr>
          <w:p w14:paraId="0A847CD1">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w:t>
            </w:r>
          </w:p>
        </w:tc>
        <w:tc>
          <w:tcPr>
            <w:tcW w:w="1646" w:type="pct"/>
            <w:vAlign w:val="center"/>
          </w:tcPr>
          <w:p w14:paraId="5FE5D285">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相对湿度</w:t>
            </w:r>
          </w:p>
        </w:tc>
        <w:tc>
          <w:tcPr>
            <w:tcW w:w="763" w:type="pct"/>
            <w:vAlign w:val="center"/>
          </w:tcPr>
          <w:p w14:paraId="42252EB6">
            <w:pPr>
              <w:ind w:firstLine="0" w:firstLineChars="0"/>
              <w:jc w:val="center"/>
              <w:rPr>
                <w:rFonts w:hint="eastAsia" w:ascii="仿宋" w:hAnsi="仿宋" w:eastAsia="仿宋" w:cs="仿宋"/>
                <w:sz w:val="21"/>
                <w:szCs w:val="21"/>
                <w:lang w:val="en-US" w:eastAsia="zh-CN"/>
              </w:rPr>
            </w:pPr>
          </w:p>
        </w:tc>
        <w:tc>
          <w:tcPr>
            <w:tcW w:w="2168" w:type="pct"/>
            <w:vAlign w:val="center"/>
          </w:tcPr>
          <w:p w14:paraId="01611EBA">
            <w:pPr>
              <w:ind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lang w:val="en-US" w:eastAsia="zh-CN"/>
              </w:rPr>
              <w:t>5%～95%</w:t>
            </w:r>
          </w:p>
        </w:tc>
      </w:tr>
      <w:tr w14:paraId="2ED78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21" w:type="pct"/>
            <w:vAlign w:val="center"/>
          </w:tcPr>
          <w:p w14:paraId="539FB358">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w:t>
            </w:r>
          </w:p>
        </w:tc>
        <w:tc>
          <w:tcPr>
            <w:tcW w:w="1646" w:type="pct"/>
            <w:vAlign w:val="center"/>
          </w:tcPr>
          <w:p w14:paraId="562BCEDB">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人机交互形式</w:t>
            </w:r>
          </w:p>
        </w:tc>
        <w:tc>
          <w:tcPr>
            <w:tcW w:w="763" w:type="pct"/>
            <w:vAlign w:val="center"/>
          </w:tcPr>
          <w:p w14:paraId="184F5330">
            <w:pPr>
              <w:ind w:firstLine="0" w:firstLineChars="0"/>
              <w:jc w:val="center"/>
              <w:rPr>
                <w:rFonts w:hint="eastAsia" w:ascii="仿宋" w:hAnsi="仿宋" w:eastAsia="仿宋" w:cs="仿宋"/>
                <w:sz w:val="21"/>
                <w:szCs w:val="21"/>
                <w:lang w:val="en-US" w:eastAsia="zh-CN"/>
              </w:rPr>
            </w:pPr>
          </w:p>
        </w:tc>
        <w:tc>
          <w:tcPr>
            <w:tcW w:w="2168" w:type="pct"/>
            <w:vAlign w:val="center"/>
          </w:tcPr>
          <w:p w14:paraId="4DB4CB5B">
            <w:pPr>
              <w:ind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7英寸触摸屏+状态指示灯</w:t>
            </w:r>
          </w:p>
        </w:tc>
      </w:tr>
      <w:tr w14:paraId="10A1C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21" w:type="pct"/>
            <w:vAlign w:val="center"/>
          </w:tcPr>
          <w:p w14:paraId="45963C66">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w:t>
            </w:r>
          </w:p>
        </w:tc>
        <w:tc>
          <w:tcPr>
            <w:tcW w:w="1646" w:type="pct"/>
            <w:vAlign w:val="center"/>
          </w:tcPr>
          <w:p w14:paraId="5419DE69">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辅助电源</w:t>
            </w:r>
          </w:p>
        </w:tc>
        <w:tc>
          <w:tcPr>
            <w:tcW w:w="763" w:type="pct"/>
            <w:vAlign w:val="center"/>
          </w:tcPr>
          <w:p w14:paraId="2D390301">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V</w:t>
            </w:r>
          </w:p>
        </w:tc>
        <w:tc>
          <w:tcPr>
            <w:tcW w:w="2168" w:type="pct"/>
            <w:vAlign w:val="center"/>
          </w:tcPr>
          <w:p w14:paraId="07A2736C">
            <w:pPr>
              <w:ind w:firstLine="0" w:firstLineChars="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12V、24V手动选择</w:t>
            </w:r>
          </w:p>
        </w:tc>
      </w:tr>
      <w:tr w14:paraId="2B374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21" w:type="pct"/>
            <w:vAlign w:val="center"/>
          </w:tcPr>
          <w:p w14:paraId="6D262401">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w:t>
            </w:r>
          </w:p>
        </w:tc>
        <w:tc>
          <w:tcPr>
            <w:tcW w:w="1646" w:type="pct"/>
            <w:vAlign w:val="center"/>
          </w:tcPr>
          <w:p w14:paraId="28A0F109">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冷却方式</w:t>
            </w:r>
          </w:p>
        </w:tc>
        <w:tc>
          <w:tcPr>
            <w:tcW w:w="763" w:type="pct"/>
            <w:vAlign w:val="center"/>
          </w:tcPr>
          <w:p w14:paraId="0A33232B">
            <w:pPr>
              <w:ind w:firstLine="0" w:firstLineChars="0"/>
              <w:jc w:val="center"/>
              <w:rPr>
                <w:rFonts w:hint="eastAsia" w:ascii="仿宋" w:hAnsi="仿宋" w:eastAsia="仿宋" w:cs="仿宋"/>
                <w:sz w:val="21"/>
                <w:szCs w:val="21"/>
              </w:rPr>
            </w:pPr>
          </w:p>
        </w:tc>
        <w:tc>
          <w:tcPr>
            <w:tcW w:w="2168" w:type="pct"/>
            <w:vAlign w:val="center"/>
          </w:tcPr>
          <w:p w14:paraId="4249CB1F">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自然冷</w:t>
            </w:r>
          </w:p>
        </w:tc>
      </w:tr>
      <w:tr w14:paraId="1AA08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21" w:type="pct"/>
            <w:vAlign w:val="center"/>
          </w:tcPr>
          <w:p w14:paraId="304142B6">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7</w:t>
            </w:r>
          </w:p>
        </w:tc>
        <w:tc>
          <w:tcPr>
            <w:tcW w:w="1646" w:type="pct"/>
            <w:shd w:val="clear" w:color="auto" w:fill="auto"/>
            <w:vAlign w:val="center"/>
          </w:tcPr>
          <w:p w14:paraId="6ED39478">
            <w:pPr>
              <w:ind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防护等级</w:t>
            </w:r>
          </w:p>
        </w:tc>
        <w:tc>
          <w:tcPr>
            <w:tcW w:w="763" w:type="pct"/>
            <w:shd w:val="clear" w:color="auto" w:fill="auto"/>
            <w:vAlign w:val="center"/>
          </w:tcPr>
          <w:p w14:paraId="45E9680B">
            <w:pPr>
              <w:ind w:firstLine="0" w:firstLineChars="0"/>
              <w:jc w:val="center"/>
              <w:rPr>
                <w:rFonts w:hint="eastAsia" w:ascii="仿宋" w:hAnsi="仿宋" w:eastAsia="仿宋" w:cs="仿宋"/>
                <w:kern w:val="2"/>
                <w:sz w:val="21"/>
                <w:szCs w:val="21"/>
                <w:lang w:val="en-US" w:eastAsia="zh-CN" w:bidi="ar-SA"/>
              </w:rPr>
            </w:pPr>
          </w:p>
        </w:tc>
        <w:tc>
          <w:tcPr>
            <w:tcW w:w="2168" w:type="pct"/>
            <w:shd w:val="clear" w:color="auto" w:fill="auto"/>
            <w:vAlign w:val="center"/>
          </w:tcPr>
          <w:p w14:paraId="522F8A78">
            <w:pPr>
              <w:ind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IP54</w:t>
            </w:r>
          </w:p>
        </w:tc>
      </w:tr>
      <w:tr w14:paraId="632FF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21" w:type="pct"/>
            <w:vAlign w:val="center"/>
          </w:tcPr>
          <w:p w14:paraId="039AA51E">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8</w:t>
            </w:r>
          </w:p>
        </w:tc>
        <w:tc>
          <w:tcPr>
            <w:tcW w:w="1646" w:type="pct"/>
            <w:shd w:val="clear" w:color="auto" w:fill="auto"/>
            <w:vAlign w:val="center"/>
          </w:tcPr>
          <w:p w14:paraId="2D6D6AE7">
            <w:pPr>
              <w:ind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rPr>
              <w:t>噪声</w:t>
            </w:r>
          </w:p>
        </w:tc>
        <w:tc>
          <w:tcPr>
            <w:tcW w:w="763" w:type="pct"/>
            <w:shd w:val="clear" w:color="auto" w:fill="auto"/>
            <w:vAlign w:val="center"/>
          </w:tcPr>
          <w:p w14:paraId="73B7C1AA">
            <w:pPr>
              <w:ind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dB</w:t>
            </w:r>
          </w:p>
        </w:tc>
        <w:tc>
          <w:tcPr>
            <w:tcW w:w="2168" w:type="pct"/>
            <w:shd w:val="clear" w:color="auto" w:fill="auto"/>
            <w:vAlign w:val="center"/>
          </w:tcPr>
          <w:p w14:paraId="32CE5561">
            <w:pPr>
              <w:ind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≤65</w:t>
            </w:r>
          </w:p>
        </w:tc>
      </w:tr>
      <w:tr w14:paraId="38B8E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21" w:type="pct"/>
            <w:vAlign w:val="center"/>
          </w:tcPr>
          <w:p w14:paraId="4589647F">
            <w:pPr>
              <w:ind w:firstLine="0" w:firstLineChars="0"/>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9</w:t>
            </w:r>
          </w:p>
        </w:tc>
        <w:tc>
          <w:tcPr>
            <w:tcW w:w="1646" w:type="pct"/>
            <w:shd w:val="clear" w:color="auto" w:fill="auto"/>
            <w:vAlign w:val="center"/>
          </w:tcPr>
          <w:p w14:paraId="3FA99CB3">
            <w:pPr>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绕线架</w:t>
            </w:r>
          </w:p>
        </w:tc>
        <w:tc>
          <w:tcPr>
            <w:tcW w:w="763" w:type="pct"/>
            <w:shd w:val="clear" w:color="auto" w:fill="auto"/>
            <w:vAlign w:val="center"/>
          </w:tcPr>
          <w:p w14:paraId="316CFE72">
            <w:pPr>
              <w:ind w:firstLine="0" w:firstLineChars="0"/>
              <w:jc w:val="center"/>
              <w:rPr>
                <w:rFonts w:hint="eastAsia" w:ascii="仿宋" w:hAnsi="仿宋" w:eastAsia="仿宋" w:cs="仿宋"/>
                <w:kern w:val="2"/>
                <w:sz w:val="21"/>
                <w:szCs w:val="21"/>
                <w:lang w:val="en-US" w:eastAsia="zh-CN" w:bidi="ar-SA"/>
              </w:rPr>
            </w:pPr>
          </w:p>
        </w:tc>
        <w:tc>
          <w:tcPr>
            <w:tcW w:w="2168" w:type="pct"/>
            <w:shd w:val="clear" w:color="auto" w:fill="auto"/>
            <w:vAlign w:val="center"/>
          </w:tcPr>
          <w:p w14:paraId="29384A5A">
            <w:pPr>
              <w:ind w:firstLine="0" w:firstLineChars="0"/>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具备</w:t>
            </w:r>
          </w:p>
        </w:tc>
      </w:tr>
      <w:tr w14:paraId="71C70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21" w:type="pct"/>
            <w:vAlign w:val="center"/>
          </w:tcPr>
          <w:p w14:paraId="5BCC62E0">
            <w:pPr>
              <w:ind w:firstLine="0" w:firstLineChars="0"/>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10</w:t>
            </w:r>
          </w:p>
        </w:tc>
        <w:tc>
          <w:tcPr>
            <w:tcW w:w="1646" w:type="pct"/>
            <w:shd w:val="clear" w:color="auto" w:fill="auto"/>
            <w:vAlign w:val="center"/>
          </w:tcPr>
          <w:p w14:paraId="0C26896F">
            <w:pPr>
              <w:ind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安装方式</w:t>
            </w:r>
          </w:p>
        </w:tc>
        <w:tc>
          <w:tcPr>
            <w:tcW w:w="763" w:type="pct"/>
            <w:shd w:val="clear" w:color="auto" w:fill="auto"/>
            <w:vAlign w:val="center"/>
          </w:tcPr>
          <w:p w14:paraId="5A92CD32">
            <w:pPr>
              <w:ind w:firstLine="0" w:firstLineChars="0"/>
              <w:jc w:val="center"/>
              <w:rPr>
                <w:rFonts w:hint="eastAsia" w:ascii="仿宋" w:hAnsi="仿宋" w:eastAsia="仿宋" w:cs="仿宋"/>
                <w:kern w:val="2"/>
                <w:sz w:val="21"/>
                <w:szCs w:val="21"/>
                <w:lang w:val="en-US" w:eastAsia="zh-CN" w:bidi="ar-SA"/>
              </w:rPr>
            </w:pPr>
          </w:p>
        </w:tc>
        <w:tc>
          <w:tcPr>
            <w:tcW w:w="2168" w:type="pct"/>
            <w:shd w:val="clear" w:color="auto" w:fill="auto"/>
            <w:vAlign w:val="center"/>
          </w:tcPr>
          <w:p w14:paraId="251BD87C">
            <w:pPr>
              <w:ind w:firstLine="0" w:firstLineChars="0"/>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lang w:val="en-US" w:eastAsia="zh-CN"/>
              </w:rPr>
              <w:t>落地式</w:t>
            </w:r>
          </w:p>
        </w:tc>
      </w:tr>
      <w:bookmarkEnd w:id="0"/>
    </w:tbl>
    <w:p w14:paraId="4ED155A9">
      <w:pPr>
        <w:ind w:firstLine="0" w:firstLineChars="0"/>
        <w:rPr>
          <w:rFonts w:hint="eastAsia" w:ascii="仿宋" w:hAnsi="仿宋" w:eastAsia="仿宋" w:cs="仿宋"/>
          <w:b/>
          <w:kern w:val="44"/>
          <w:szCs w:val="21"/>
        </w:rPr>
      </w:pPr>
    </w:p>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1Mjc0M2VkZDM4Y2Q5OTBiNGQ2Y2Y4MzU2NDZkMDIifQ=="/>
  </w:docVars>
  <w:rsids>
    <w:rsidRoot w:val="00000000"/>
    <w:rsid w:val="05484762"/>
    <w:rsid w:val="08BA6F0F"/>
    <w:rsid w:val="092D54BA"/>
    <w:rsid w:val="0F3810C9"/>
    <w:rsid w:val="0FE66458"/>
    <w:rsid w:val="12EF7A28"/>
    <w:rsid w:val="15163679"/>
    <w:rsid w:val="1987632D"/>
    <w:rsid w:val="1A9B081F"/>
    <w:rsid w:val="1C4D1A1C"/>
    <w:rsid w:val="261958C9"/>
    <w:rsid w:val="34E1256E"/>
    <w:rsid w:val="3BBC2379"/>
    <w:rsid w:val="3E634A28"/>
    <w:rsid w:val="3F392FAE"/>
    <w:rsid w:val="411776BC"/>
    <w:rsid w:val="4A1E617D"/>
    <w:rsid w:val="52830C3E"/>
    <w:rsid w:val="5470623E"/>
    <w:rsid w:val="59EB0059"/>
    <w:rsid w:val="5A574084"/>
    <w:rsid w:val="5F165560"/>
    <w:rsid w:val="6BFA0C9A"/>
    <w:rsid w:val="7EF606DC"/>
    <w:rsid w:val="7F8477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99"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仿宋_GB2312" w:hAnsi="仿宋_GB2312" w:eastAsia="仿宋_GB2312" w:cs="仿宋_GB2312"/>
      <w:kern w:val="2"/>
      <w:sz w:val="32"/>
      <w:szCs w:val="3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1"/>
    <w:pPr>
      <w:spacing w:before="154" w:line="240" w:lineRule="auto"/>
      <w:ind w:left="100" w:firstLine="0" w:firstLineChars="0"/>
    </w:pPr>
    <w:rPr>
      <w:rFonts w:hint="eastAsia" w:ascii="宋体" w:hAnsi="Times New Roman" w:eastAsia="宋体" w:cs="Times New Roman"/>
      <w:sz w:val="24"/>
      <w:szCs w:val="20"/>
    </w:rPr>
  </w:style>
  <w:style w:type="paragraph" w:styleId="3">
    <w:name w:val="Body Text 2"/>
    <w:basedOn w:val="1"/>
    <w:semiHidden/>
    <w:unhideWhenUsed/>
    <w:qFormat/>
    <w:uiPriority w:val="99"/>
    <w:pPr>
      <w:spacing w:after="120" w:line="480" w:lineRule="auto"/>
    </w:pPr>
  </w:style>
  <w:style w:type="paragraph" w:styleId="4">
    <w:name w:val="toc 3"/>
    <w:basedOn w:val="1"/>
    <w:next w:val="1"/>
    <w:qFormat/>
    <w:uiPriority w:val="0"/>
    <w:pPr>
      <w:widowControl/>
      <w:spacing w:line="360" w:lineRule="auto"/>
      <w:ind w:left="840" w:leftChars="400"/>
      <w:jc w:val="left"/>
    </w:pPr>
    <w:rPr>
      <w:rFonts w:asciiTheme="minorAscii" w:hAnsiTheme="minorAscii" w:eastAsiaTheme="minorEastAsia" w:cstheme="minorBidi"/>
      <w:kern w:val="0"/>
      <w:sz w:val="22"/>
      <w:szCs w:val="22"/>
    </w:rPr>
  </w:style>
  <w:style w:type="paragraph" w:styleId="5">
    <w:name w:val="toc 1"/>
    <w:basedOn w:val="1"/>
    <w:next w:val="1"/>
    <w:qFormat/>
    <w:uiPriority w:val="0"/>
    <w:pPr>
      <w:widowControl/>
      <w:spacing w:line="360" w:lineRule="auto"/>
      <w:jc w:val="left"/>
    </w:pPr>
    <w:rPr>
      <w:rFonts w:asciiTheme="minorAscii" w:hAnsiTheme="minorAscii" w:eastAsiaTheme="minorEastAsia" w:cstheme="minorBidi"/>
      <w:kern w:val="0"/>
      <w:sz w:val="22"/>
      <w:szCs w:val="22"/>
    </w:rPr>
  </w:style>
  <w:style w:type="paragraph" w:customStyle="1" w:styleId="8">
    <w:name w:val="表格内容"/>
    <w:basedOn w:val="1"/>
    <w:qFormat/>
    <w:uiPriority w:val="0"/>
    <w:pPr>
      <w:topLinePunct/>
      <w:spacing w:before="40" w:after="40"/>
    </w:pPr>
    <w:rPr>
      <w:rFonts w:ascii="仿宋_GB2312" w:hAnsi="仿宋_GB2312" w:cs="Times New Roman"/>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5579</Words>
  <Characters>6797</Characters>
  <Lines>0</Lines>
  <Paragraphs>0</Paragraphs>
  <TotalTime>23</TotalTime>
  <ScaleCrop>false</ScaleCrop>
  <LinksUpToDate>false</LinksUpToDate>
  <CharactersWithSpaces>6817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2021-10-27T00:25:00Z</dcterms:created>
  <dc:creator>86181</dc:creator>
  <cp:lastModifiedBy>……</cp:lastModifiedBy>
  <dcterms:modified xsi:type="dcterms:W3CDTF">2025-06-17T07:15:05Z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C5FEC580A2BC4E6CBB440A1025FCE879_13</vt:lpwstr>
  </property>
  <property fmtid="{D5CDD505-2E9C-101B-9397-08002B2CF9AE}" pid="4" name="KSOTemplateDocerSaveRecord">
    <vt:lpwstr>eyJoZGlkIjoiNTMyN2EwMGI4MjEyYzUwNTkzOTNlOTA5MmE1OWViZjMiLCJ1c2VySWQiOiI0MTY3NDg3NzcifQ==</vt:lpwstr>
  </property>
</Properties>
</file>