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包头市石拐区喜桂图新区2025年绿化养护项目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包头市石拐区住房和城乡建设局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鸿民国际工程（集团）有限公司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BTZCSGS-C-F-250002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鸿民国际工程（集团）有限公司</w:t>
      </w:r>
      <w:r>
        <w:rPr>
          <w:rFonts w:ascii="仿宋_GB2312" w:hAnsi="仿宋_GB2312" w:cs="仿宋_GB2312" w:eastAsia="仿宋_GB2312"/>
        </w:rPr>
        <w:t xml:space="preserve"> 受 </w:t>
      </w:r>
      <w:r>
        <w:rPr>
          <w:rFonts w:ascii="仿宋_GB2312" w:hAnsi="仿宋_GB2312" w:cs="仿宋_GB2312" w:eastAsia="仿宋_GB2312"/>
        </w:rPr>
        <w:t>包头市石拐区住房和城乡建设局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包头市石拐区喜桂图新区2025年绿化养护项目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包头市石拐区喜桂图新区2025年绿化养护项目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包政采计划[2025]石拐00019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包头市石拐区喜桂图新区2025年绿化养护项目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鸿民国际工程（集团）有限公司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包头市青山区工商联大厦2210</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15391022303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包头市石拐区住房和城乡建设局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内蒙古自治区包头市石拐区喜桂图新区金政大厦A座138室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15661594822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包头市石拐区住房和城乡建设局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鸿民国际工程（集团）有限公司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包头市石拐区喜桂图新区2025年绿化养护项目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2025年3月-2025年12月（共计10个月）</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1、支付合同价的10%，按月支付，达到付款条件起30日，支付合同总金额的10.00%</w:t>
            </w:r>
          </w:p>
          <w:p>
            <w:pPr>
              <w:pStyle w:val="null5"/>
              <w:jc w:val="left"/>
            </w:pPr>
            <w:r>
              <w:rPr>
                <w:rFonts w:ascii="仿宋_GB2312" w:hAnsi="仿宋_GB2312" w:cs="仿宋_GB2312" w:eastAsia="仿宋_GB2312"/>
              </w:rPr>
              <w:t>2、支付合同价的10%，按月支付，达到付款条件起30日，支付合同总金额的10.00%</w:t>
            </w:r>
          </w:p>
          <w:p>
            <w:pPr>
              <w:pStyle w:val="null5"/>
              <w:jc w:val="left"/>
            </w:pPr>
            <w:r>
              <w:rPr>
                <w:rFonts w:ascii="仿宋_GB2312" w:hAnsi="仿宋_GB2312" w:cs="仿宋_GB2312" w:eastAsia="仿宋_GB2312"/>
              </w:rPr>
              <w:t>3、支付合同价的10%，按月支付，达到付款条件起30日，支付合同总金额的10.00%</w:t>
            </w:r>
          </w:p>
          <w:p>
            <w:pPr>
              <w:pStyle w:val="null5"/>
              <w:jc w:val="left"/>
            </w:pPr>
            <w:r>
              <w:rPr>
                <w:rFonts w:ascii="仿宋_GB2312" w:hAnsi="仿宋_GB2312" w:cs="仿宋_GB2312" w:eastAsia="仿宋_GB2312"/>
              </w:rPr>
              <w:t>4、支付合同价的10%，按月支付，达到付款条件起30日，支付合同总金额的10.00%</w:t>
            </w:r>
          </w:p>
          <w:p>
            <w:pPr>
              <w:pStyle w:val="null5"/>
              <w:jc w:val="left"/>
            </w:pPr>
            <w:r>
              <w:rPr>
                <w:rFonts w:ascii="仿宋_GB2312" w:hAnsi="仿宋_GB2312" w:cs="仿宋_GB2312" w:eastAsia="仿宋_GB2312"/>
              </w:rPr>
              <w:t>5、支付合同价的10%，按月支付，达到付款条件起30日，支付合同总金额的10.00%</w:t>
            </w:r>
          </w:p>
          <w:p>
            <w:pPr>
              <w:pStyle w:val="null5"/>
              <w:jc w:val="left"/>
            </w:pPr>
            <w:r>
              <w:rPr>
                <w:rFonts w:ascii="仿宋_GB2312" w:hAnsi="仿宋_GB2312" w:cs="仿宋_GB2312" w:eastAsia="仿宋_GB2312"/>
              </w:rPr>
              <w:t>6、支付合同价的10%，按月支付，达到付款条件起30日，支付合同总金额的10.00%</w:t>
            </w:r>
          </w:p>
          <w:p>
            <w:pPr>
              <w:pStyle w:val="null5"/>
              <w:jc w:val="left"/>
            </w:pPr>
            <w:r>
              <w:rPr>
                <w:rFonts w:ascii="仿宋_GB2312" w:hAnsi="仿宋_GB2312" w:cs="仿宋_GB2312" w:eastAsia="仿宋_GB2312"/>
              </w:rPr>
              <w:t>7、支付合同价的10%，按月支付，达到付款条件起30日，支付合同总金额的10.00%</w:t>
            </w:r>
          </w:p>
          <w:p>
            <w:pPr>
              <w:pStyle w:val="null5"/>
              <w:jc w:val="left"/>
            </w:pPr>
            <w:r>
              <w:rPr>
                <w:rFonts w:ascii="仿宋_GB2312" w:hAnsi="仿宋_GB2312" w:cs="仿宋_GB2312" w:eastAsia="仿宋_GB2312"/>
              </w:rPr>
              <w:t>8、支付合同价的10%，按月支付，达到付款条件起30日，支付合同总金额的10.00%</w:t>
            </w:r>
          </w:p>
          <w:p>
            <w:pPr>
              <w:pStyle w:val="null5"/>
              <w:jc w:val="left"/>
            </w:pPr>
            <w:r>
              <w:rPr>
                <w:rFonts w:ascii="仿宋_GB2312" w:hAnsi="仿宋_GB2312" w:cs="仿宋_GB2312" w:eastAsia="仿宋_GB2312"/>
              </w:rPr>
              <w:t>9、支付合同价的10%，按月支付，达到付款条件起30日，支付合同总金额的10.00%</w:t>
            </w:r>
          </w:p>
          <w:p>
            <w:pPr>
              <w:pStyle w:val="null5"/>
              <w:jc w:val="left"/>
            </w:pPr>
            <w:r>
              <w:rPr>
                <w:rFonts w:ascii="仿宋_GB2312" w:hAnsi="仿宋_GB2312" w:cs="仿宋_GB2312" w:eastAsia="仿宋_GB2312"/>
              </w:rPr>
              <w:t>10、支付合同价的10%，按月支付，达到付款条件起30日，支付合同总金额的10.00%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1.投标报价不得超出采购文件中规定的最高限价以及采购预算；超出的做无效处理，因此造成无效响应的，采购人及采购代理机构不承担任何责任。 2.本项目为远程开标，供应商需提前半小时登录系统签到，开标时远程解锁、确认。开标时，各供应商必须保证电脑可正常登陆、解密及签章。本项目设置解密、签章确认及最终报价时限均为30分钟，如供应商在规定时间内无法解密或签章，造成废标的，采购人及采购代理机构不承担任何责任。 3.此项目为电子投标，制作响应文件时采购网首页自行学习操作方法（内蒙古自治区政府采购网站上有操作视频），如遇问题无法解决可直接联系软件公司咨询，内蒙古自治区金财公司技术支持400-0471-010。 4.由于本项目采用电子系统招标，后台采购文件为系统模板，根据具体项目的情况无法准确描述，部分内容只可填空，不可更改。采购文件中有不适用之处，敬请见谅。如有问题，请及时联系代理公司。 5.系统文件模板合同为固定模板，无法修改，具体签订合同以采购人提供为准。 6.关于纸质响应文件的说明：须于中标结果公告3日内，提供与电子响应文件内容完全一致的纸质响应文件三份（用于备案存档）。如与电子版响应文件内容不一致所引起一切法律责任及不良后果，由供应商自行承担。纸质响应文件中所有要求盖章、签字的地方都要求按“供应商须知”中“签字、盖章要求”执行。纸质响应文件要以胶装形式牢固装订。 7.合同融资，为支持和促进中小企业发展，切实解决企业融资难问题，包头市政府采购项目已开通合同融资渠道，供应商中标后可通过中标合同向相关银行发起无抵押无担保融资申请，银行根据企业中标信息发放贷款，帮助企业解决融资问题。相关资料可查阅：http://39.104.85.103/zcdservice/zcd/neimeng。</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标的名称：包头市石拐区喜桂图新区2025年绿化养护项目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服务范围及要求:对石拐区喜桂图新区城区内的绿化区域进行全面、周到的养护管理工作，确保绿化区域的健康生长和美观整洁。具体服务内容包括但不限于:除草、修剪、浇水、施肥、喷药、清理杂物等。</w:t>
            </w:r>
          </w:p>
          <w:tbl>
            <w:tblPr>
              <w:tblBorders>
                <w:top w:val="single"/>
                <w:left w:val="single"/>
                <w:bottom w:val="single"/>
                <w:right w:val="single"/>
                <w:insideH w:val="single"/>
                <w:insideV w:val="single"/>
              </w:tblBorders>
            </w:tblPr>
            <w:tblGrid>
              <w:gridCol w:w="532"/>
              <w:gridCol w:w="532"/>
              <w:gridCol w:w="532"/>
              <w:gridCol w:w="532"/>
              <w:gridCol w:w="532"/>
              <w:gridCol w:w="532"/>
            </w:tblGrid>
            <w:tr>
              <w:tc>
                <w:tcPr>
                  <w:tcW w:type="dxa" w:w="319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喜桂图新区苗木总量</w:t>
                  </w:r>
                </w:p>
              </w:tc>
            </w:tr>
            <w:tr>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种类</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总量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单位</w:t>
                  </w:r>
                </w:p>
              </w:tc>
              <w:tc>
                <w:tcPr>
                  <w:tcW w:type="dxa" w:w="1596"/>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落叶乔木</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135916</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株</w:t>
                  </w:r>
                </w:p>
              </w:tc>
            </w:tr>
            <w:tr>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常绿乔木</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21500</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株</w:t>
                  </w:r>
                </w:p>
              </w:tc>
            </w:tr>
            <w:tr>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灌木</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345439</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株</w:t>
                  </w:r>
                </w:p>
              </w:tc>
            </w:tr>
            <w:tr>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地被</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1113345</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w:t>
                  </w:r>
                </w:p>
              </w:tc>
            </w:tr>
            <w:tr>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草坪</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155092</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rPr>
                    <w:t>㎡</w:t>
                  </w:r>
                </w:p>
              </w:tc>
              <w:tc>
                <w:tcPr>
                  <w:tcW w:type="dxa" w:w="159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5"/>
              <w:jc w:val="left"/>
            </w:pPr>
            <w:r>
              <w:rPr>
                <w:rFonts w:ascii="仿宋_GB2312" w:hAnsi="仿宋_GB2312" w:cs="仿宋_GB2312" w:eastAsia="仿宋_GB2312"/>
              </w:rPr>
              <w:t>服务要求：1.在实施和完成本项目的养护作业过程中，遵守国家、省、市颁布的法律、条例以及有关规定;遵守采购人及有关部门的规章细则等，自行负责办理养护作业涉及的有关部门相关手续及费用、如果由于违反规定、规章细则而导致各种赔偿、罚款和责任，均由乙方自行负责。</w:t>
            </w:r>
            <w:r>
              <w:br/>
            </w:r>
            <w:r>
              <w:rPr>
                <w:rFonts w:ascii="仿宋_GB2312" w:hAnsi="仿宋_GB2312" w:cs="仿宋_GB2312" w:eastAsia="仿宋_GB2312"/>
              </w:rPr>
              <w:t xml:space="preserve"> 2.在接管养护前应清点采购人现有的苗木，如有死亡和无法补救的苗木，要向采购人提出并记录在案，在养护期间如有花木自然死亡，中标人要及时告知采购人，协商补种。</w:t>
            </w:r>
          </w:p>
          <w:p>
            <w:pPr>
              <w:pStyle w:val="null5"/>
              <w:jc w:val="left"/>
            </w:pPr>
            <w:r>
              <w:rPr>
                <w:rFonts w:ascii="仿宋_GB2312" w:hAnsi="仿宋_GB2312" w:cs="仿宋_GB2312" w:eastAsia="仿宋_GB2312"/>
              </w:rPr>
              <w:t>3.中标人在养护期间，严格按《包头市城市绿化养护条例》标准养护管理。如中标人未按条例养护，造成损失，采购人有权要求中标人承担相应的赔偿责任。</w:t>
            </w:r>
            <w:r>
              <w:br/>
            </w:r>
            <w:r>
              <w:rPr>
                <w:rFonts w:ascii="仿宋_GB2312" w:hAnsi="仿宋_GB2312" w:cs="仿宋_GB2312" w:eastAsia="仿宋_GB2312"/>
              </w:rPr>
              <w:t xml:space="preserve"> 4.因其它原因增加或减少养护范围，应双方及时沟通补签合同，双方应互惠互利密切配合，保证新区的绿化效果。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审查投标人递交投标文件截止之日前一年内 (至少一个月) 的良好缴纳税收的相关凭据。 (以 税务机关提供的纳税凭据或银行入账单为准) 2.提供递交投标文件截止之日前一年内 (至少一 个月) 缴纳社会保险的凭证。(以专用收据或社会保险缴纳清单为准) 注：其他组织和自然人 也需要提供缴纳税收的凭据金额缴纳社保的凭据。依法免税或不需要缴纳社会保障资金的供 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养护服务方案与技术措施</w:t>
            </w:r>
          </w:p>
        </w:tc>
        <w:tc>
          <w:tcPr>
            <w:tcW w:type="dxa" w:w="3115"/>
          </w:tcPr>
          <w:p>
            <w:pPr>
              <w:pStyle w:val="null5"/>
              <w:jc w:val="left"/>
            </w:pPr>
            <w:r>
              <w:rPr>
                <w:rFonts w:ascii="仿宋_GB2312" w:hAnsi="仿宋_GB2312" w:cs="仿宋_GB2312" w:eastAsia="仿宋_GB2312"/>
              </w:rPr>
              <w:t>视供应商提供的养护服务方案与技术措施进行评价，内容包括但不限于以下内容：各项工作的方法和流程是否符合采购人的实际要求；时间节点安排，实施成员能力强、职责明确。（1）内容严谨、全面、详细、合理，得7-10分（≥7）；（2）内容较严谨、较全面、较详细、较合理，得3-7分（7＞分值≥3）；（3）内容基本合理，存在少量缺漏，得1-3分（3＞分值≥1）；（4）无相关内容或差，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服务质量目标</w:t>
            </w:r>
          </w:p>
        </w:tc>
        <w:tc>
          <w:tcPr>
            <w:tcW w:type="dxa" w:w="3115"/>
          </w:tcPr>
          <w:p>
            <w:pPr>
              <w:pStyle w:val="null5"/>
              <w:jc w:val="left"/>
            </w:pPr>
            <w:r>
              <w:rPr>
                <w:rFonts w:ascii="仿宋_GB2312" w:hAnsi="仿宋_GB2312" w:cs="仿宋_GB2312" w:eastAsia="仿宋_GB2312"/>
              </w:rPr>
              <w:t>视供应商提供的服务质量目标，承诺服务质量目标明确，服务内容切实可行。（1）内容十分详细合理、完善，完全满足采购需求，得7-10分（≥7）；（2）内容较详细合理，完善，比较满足采购需求，得3-7分（7＞分值≥3）；（3）内容基本合理，内容基本完善、合理，基本满足采购需求，得1-3分（3＞分值≥1）；（4）不合理，不能满足采购需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视供应商提供的服务方案进行评价，内容包括但不限于以下内容：提供工作内容流程，服务时间合理，自查方案，处罚规定，依据响应情况打分。（1）内容全面详细，针对性、可操作性强，完全满足项目要求，得7-10分（≥7）；（2）内容较为详细，针对性、可操作性较强，满足项目要求，得3-7分（7＞分值≥3）；（3）内容偏简单，针对性、可操作性一般，基本满足项目要求，存在少量缺漏，得1-3分（3＞分值≥1）；（4）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质量保证体系、措施</w:t>
            </w:r>
          </w:p>
        </w:tc>
        <w:tc>
          <w:tcPr>
            <w:tcW w:type="dxa" w:w="3115"/>
          </w:tcPr>
          <w:p>
            <w:pPr>
              <w:pStyle w:val="null5"/>
              <w:jc w:val="left"/>
            </w:pPr>
            <w:r>
              <w:rPr>
                <w:rFonts w:ascii="仿宋_GB2312" w:hAnsi="仿宋_GB2312" w:cs="仿宋_GB2312" w:eastAsia="仿宋_GB2312"/>
              </w:rPr>
              <w:t>视供应商提供的服务有完善的质量保证体系、质量保证措施。（1）提供的质量保证体系及控制措施十分完善、十分合理，完全满足采购需求，得6-8分（≥6）；（2）提供的质量保证体系及控制措施比较完善、比较合理，较满足采购需求，得3-6分（6＞分值≥3）；（3）提供的质量保证体系及控制措施基本完善、基本合理，基本满足采购需求，得1-3分（3＞分值≥1）；（4）提供的质量保证体系及控制措施不合理，不满足采购需求，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安全环保措施</w:t>
            </w:r>
          </w:p>
        </w:tc>
        <w:tc>
          <w:tcPr>
            <w:tcW w:type="dxa" w:w="3115"/>
          </w:tcPr>
          <w:p>
            <w:pPr>
              <w:pStyle w:val="null5"/>
              <w:jc w:val="left"/>
            </w:pPr>
            <w:r>
              <w:rPr>
                <w:rFonts w:ascii="仿宋_GB2312" w:hAnsi="仿宋_GB2312" w:cs="仿宋_GB2312" w:eastAsia="仿宋_GB2312"/>
              </w:rPr>
              <w:t>视供应商提供的安全管理体系与措施，以及环保管理体系与措施进行评价，安全、文明、环境保护的措施满足招标文件要求，具有安全管理体系、防护措施，安全防护方案符合国家及地方管理规定，环境保护管理体系、污染物处理及排放符合国家及地方环境保护标准、技术及管理措施。（1）体系与措施针对性强，内容齐全，符合相关规定，语言简明、准确、规范，符合要求，得6-8分（≥6）；体系与措施针对性强，内容基本齐全，符合相关规定，语言简明、准确、规范，基本符合要求，得3-6分（6＞分值≥3）；（3）体系与措施针对性一般，内容正确，符合相关规定，表述清楚、基本符合要求，存在少量缺漏，得1-3分（3＞分值≥1）；（4）体系与措施对性不强，表述不清楚，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视供应商人员配备情况，能保障该项目的质量和进度等进行评价。（1）专业技术能力非常强，工作人员工作能力非常强，能够完全满足该项目质量和进度，确保满足采购人需求，得6-8分（≥6）；（2）专业技术能力较强，工作人员工作能力较强，能够满足该项目的质量和进度，满足采购人需求，得3-6分（6＞分值≥3）；（3）有基本的专业技术能力，基本满足该项目的质量和进度，基本满足采购人需求，得1-3分（3＞分值≥1）；（4）无专业技术能力，不能满足该项目的进度和质量，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服务配套设施</w:t>
            </w:r>
          </w:p>
        </w:tc>
        <w:tc>
          <w:tcPr>
            <w:tcW w:type="dxa" w:w="3115"/>
          </w:tcPr>
          <w:p>
            <w:pPr>
              <w:pStyle w:val="null5"/>
              <w:jc w:val="left"/>
            </w:pPr>
            <w:r>
              <w:rPr>
                <w:rFonts w:ascii="仿宋_GB2312" w:hAnsi="仿宋_GB2312" w:cs="仿宋_GB2312" w:eastAsia="仿宋_GB2312"/>
              </w:rPr>
              <w:t>视供应商提供的服务配套设施进行评价，内容包括但不限于以下内容：根据日常工作的需要，提供可以满足服务工作的机具配置，包括工种内容、作业机具、安全防护等，根据供应商提供的技术装备是否齐全，依据响应情况打分。（1）内容全面详细，针对性、可操作性强，完全满足项目要求，得6-8分（≥6）；（2）内容较为详细，针对性、可操作性较强，满足项目要求，得3-6分（6＞分值≥3）；（3）内容偏简单，针对性、可操作性一般，基本满足项目要求，存在少量缺漏，得1-3分（3＞分值≥ 1）；（4）其他或无相关内容，不得分。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应急措施</w:t>
            </w:r>
          </w:p>
        </w:tc>
        <w:tc>
          <w:tcPr>
            <w:tcW w:type="dxa" w:w="3115"/>
          </w:tcPr>
          <w:p>
            <w:pPr>
              <w:pStyle w:val="null5"/>
              <w:jc w:val="left"/>
            </w:pPr>
            <w:r>
              <w:rPr>
                <w:rFonts w:ascii="仿宋_GB2312" w:hAnsi="仿宋_GB2312" w:cs="仿宋_GB2312" w:eastAsia="仿宋_GB2312"/>
              </w:rPr>
              <w:t>视供应商提供的应急预案进行评价，内容包括但不限于以下内容：提供针对可能出现的紧急情况，提供相应的应急预案，依据响应情况打分。（1）内容全面详细，针对性、可操作性强，完全满足项目要求，得6-8分（≥ 6）；（2）内容较为详细，针对性、可操作性较强，满足项目要求，得36分（6＞分值≥3）；（3）内容偏简单，针对性、可操作性一般，基本满足项目要求，存在少量缺漏，得1-3分（3＞分值≥1）；（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符合采购人的服务内容承诺，根据方案的合理性、可行性进行合评定。（1）内容全面详细，针对性、可操作性强，得10分；（2）内容较为详细，针对性、可操作性较强，得6分；（3）内容偏简单，针对性、可操作性一般，基本满足项目要求，存在少量缺漏，得3分；（4）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类似业绩情况</w:t>
            </w:r>
          </w:p>
        </w:tc>
        <w:tc>
          <w:tcPr>
            <w:tcW w:type="dxa" w:w="3115"/>
          </w:tcPr>
          <w:p>
            <w:pPr>
              <w:pStyle w:val="null5"/>
              <w:jc w:val="left"/>
            </w:pPr>
            <w:r>
              <w:rPr>
                <w:rFonts w:ascii="仿宋_GB2312" w:hAnsi="仿宋_GB2312" w:cs="仿宋_GB2312" w:eastAsia="仿宋_GB2312"/>
              </w:rPr>
              <w:t>供应商2022年至今承担过类似绿化相关项目的，有一项得5分，最10分。（以响应文件中所附中标通知书或合同原件扫描件为评审依据，不提供、不清晰均不计分，以中标通知书或合同签订日期为准）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