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包头市石拐区喜桂图新区2025年市政维护项目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包头市石拐区住房和城乡建设局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鸿民国际工程（集团）有限公司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BTZCSGS-C-F-250003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鸿民国际工程（集团）有限公司</w:t>
      </w:r>
      <w:r>
        <w:rPr>
          <w:rFonts w:ascii="仿宋_GB2312" w:hAnsi="仿宋_GB2312" w:cs="仿宋_GB2312" w:eastAsia="仿宋_GB2312"/>
        </w:rPr>
        <w:t xml:space="preserve"> 受 </w:t>
      </w:r>
      <w:r>
        <w:rPr>
          <w:rFonts w:ascii="仿宋_GB2312" w:hAnsi="仿宋_GB2312" w:cs="仿宋_GB2312" w:eastAsia="仿宋_GB2312"/>
        </w:rPr>
        <w:t>包头市石拐区住房和城乡建设局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包头市石拐区喜桂图新区2025年市政维护项目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包头市石拐区喜桂图新区2025年市政维护项目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BTZCSGS-C-F-250003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包政采计划[2025]石拐00005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1,162,500.00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包头市石拐区喜桂图新区2025年市政维护项目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1,162,500.00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鸿民国际工程（集团）有限公司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包头市青山区工商联大厦2210</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吴群</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15391022303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包头市石拐区住房和城乡建设局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内蒙古自治区包头市石拐区喜桂图新区金政大厦A座138室</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王钰</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15661594822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代理服务费收费标准：按照中标金额的1.5%收取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包头市石拐区住房和城乡建设局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鸿民国际工程（集团）有限公司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包头市石拐区喜桂图新区2025年市政维护项目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2025年3月-2025年12月（共计10个月）</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1、支付合同价的10%，按月支付，达到付款条件起30日，支付合同总金额的10.00%</w:t>
            </w:r>
          </w:p>
          <w:p>
            <w:pPr>
              <w:pStyle w:val="null5"/>
              <w:jc w:val="left"/>
            </w:pPr>
            <w:r>
              <w:rPr>
                <w:rFonts w:ascii="仿宋_GB2312" w:hAnsi="仿宋_GB2312" w:cs="仿宋_GB2312" w:eastAsia="仿宋_GB2312"/>
              </w:rPr>
              <w:t>2、支付合同价的10%，按月支付，达到付款条件起30日，支付合同总金额的10.00%</w:t>
            </w:r>
          </w:p>
          <w:p>
            <w:pPr>
              <w:pStyle w:val="null5"/>
              <w:jc w:val="left"/>
            </w:pPr>
            <w:r>
              <w:rPr>
                <w:rFonts w:ascii="仿宋_GB2312" w:hAnsi="仿宋_GB2312" w:cs="仿宋_GB2312" w:eastAsia="仿宋_GB2312"/>
              </w:rPr>
              <w:t>3、支付合同价的10%，按月支付，达到付款条件起30日，支付合同总金额的10.00%</w:t>
            </w:r>
          </w:p>
          <w:p>
            <w:pPr>
              <w:pStyle w:val="null5"/>
              <w:jc w:val="left"/>
            </w:pPr>
            <w:r>
              <w:rPr>
                <w:rFonts w:ascii="仿宋_GB2312" w:hAnsi="仿宋_GB2312" w:cs="仿宋_GB2312" w:eastAsia="仿宋_GB2312"/>
              </w:rPr>
              <w:t>4、支付合同价的10%，按月支付，达到付款条件起30日，支付合同总金额的10.00%</w:t>
            </w:r>
          </w:p>
          <w:p>
            <w:pPr>
              <w:pStyle w:val="null5"/>
              <w:jc w:val="left"/>
            </w:pPr>
            <w:r>
              <w:rPr>
                <w:rFonts w:ascii="仿宋_GB2312" w:hAnsi="仿宋_GB2312" w:cs="仿宋_GB2312" w:eastAsia="仿宋_GB2312"/>
              </w:rPr>
              <w:t>5、支付合同价的10%，按月支付，达到付款条件起30日，支付合同总金额的10.00%</w:t>
            </w:r>
          </w:p>
          <w:p>
            <w:pPr>
              <w:pStyle w:val="null5"/>
              <w:jc w:val="left"/>
            </w:pPr>
            <w:r>
              <w:rPr>
                <w:rFonts w:ascii="仿宋_GB2312" w:hAnsi="仿宋_GB2312" w:cs="仿宋_GB2312" w:eastAsia="仿宋_GB2312"/>
              </w:rPr>
              <w:t>6、支付合同价的10%，按月支付，达到付款条件起30日，支付合同总金额的10.00%</w:t>
            </w:r>
          </w:p>
          <w:p>
            <w:pPr>
              <w:pStyle w:val="null5"/>
              <w:jc w:val="left"/>
            </w:pPr>
            <w:r>
              <w:rPr>
                <w:rFonts w:ascii="仿宋_GB2312" w:hAnsi="仿宋_GB2312" w:cs="仿宋_GB2312" w:eastAsia="仿宋_GB2312"/>
              </w:rPr>
              <w:t>7、支付合同价的10%，按月支付，达到付款条件起30日，支付合同总金额的10.00%</w:t>
            </w:r>
          </w:p>
          <w:p>
            <w:pPr>
              <w:pStyle w:val="null5"/>
              <w:jc w:val="left"/>
            </w:pPr>
            <w:r>
              <w:rPr>
                <w:rFonts w:ascii="仿宋_GB2312" w:hAnsi="仿宋_GB2312" w:cs="仿宋_GB2312" w:eastAsia="仿宋_GB2312"/>
              </w:rPr>
              <w:t>8、支付合同价的10%，按月支付，达到付款条件起30日，支付合同总金额的10.00%</w:t>
            </w:r>
          </w:p>
          <w:p>
            <w:pPr>
              <w:pStyle w:val="null5"/>
              <w:jc w:val="left"/>
            </w:pPr>
            <w:r>
              <w:rPr>
                <w:rFonts w:ascii="仿宋_GB2312" w:hAnsi="仿宋_GB2312" w:cs="仿宋_GB2312" w:eastAsia="仿宋_GB2312"/>
              </w:rPr>
              <w:t>9、支付合同价的10%，按月支付，达到付款条件起30日，支付合同总金额的10.00%</w:t>
            </w:r>
          </w:p>
          <w:p>
            <w:pPr>
              <w:pStyle w:val="null5"/>
              <w:jc w:val="left"/>
            </w:pPr>
            <w:r>
              <w:rPr>
                <w:rFonts w:ascii="仿宋_GB2312" w:hAnsi="仿宋_GB2312" w:cs="仿宋_GB2312" w:eastAsia="仿宋_GB2312"/>
              </w:rPr>
              <w:t>10、支付合同价的10%，按月支付，达到付款条件起30日，支付合同总金额的10.00%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br/>
              <w:t xml:space="preserve"> 1.投标报价不得超出采购文件中规定的最高限价以及采购预算；超出的做无效处理，因此造成无效响应的，采购人及采购代理机构不承担任何责任。 2.本项目为远程开标，供应商需提前半小时登录系统签到，开标时远程解锁、确认。开标时，各供应商必须保证电脑可正常登陆、解密及签章。本项目设置解密、签章确认及最终报价时限均为30分钟，如供应商在规定时间内无法解密或签章，造成废标的，采购人及采购代理机构不承担任何责任。 3.此项目为电子投标，制作响应文件时采购网首页自行学习操作方法（内蒙古自治区政府采购网站上有操作视频），如遇问题无法解决可直接联系软件公司咨询，内蒙古自治区金财公司技术支持400-0471-010。 4.由于本项目采用电子系统招标，后台采购文件为系统模板，根据具体项目的情况无法准确描述，部分内容只可填空，不可更改。采购文件中有不适用之处，敬请见谅。如有问题，请及时联系代理公司。 5.系统文件模板合同为固定模板，无法修改，具体签订合同以采购人提供为准。 6.关于纸质响应文件的说明：须于中标结果公告3日内，提供与电子响应文件内容完全一致的纸质响应文件三份（用于备案存档）。如与电子版响应文件内容不一致所引起一切法律责任及不良后果，由供应商自行承担。纸质响应文件中所有要求盖章、签字的地方都要求按“供应商须知”中“签字、盖章要求”执行。纸质响应文件要以胶装形式牢固装订。 7.合同融资，为支持和促进中小企业发展，切实解决企业融资难问题，包头市政府采购项目已开通合同融资渠道，供应商中标后可通过中标合同向相关银行发起无抵押无担保融资申请，银行根据企业中标信息发放贷款，帮助企业解决融资问题。相关资料可查阅：http://39.104.85.103/zcdservice/zcd/neimeng。</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标的名称：包头市石拐区喜桂图新区2025年市政维护项目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一、维护内容:</w:t>
            </w:r>
            <w:r>
              <w:br/>
            </w:r>
            <w:r>
              <w:rPr>
                <w:rFonts w:ascii="仿宋_GB2312" w:hAnsi="仿宋_GB2312" w:cs="仿宋_GB2312" w:eastAsia="仿宋_GB2312"/>
              </w:rPr>
              <w:t xml:space="preserve"> 1.污水泵站维护:中标人负责对采购人所辖区域内的污水泵站进行日常巡查、维护、保养，确保污水泵站的正常运行。</w:t>
            </w:r>
          </w:p>
          <w:p>
            <w:pPr>
              <w:pStyle w:val="null5"/>
              <w:jc w:val="left"/>
            </w:pPr>
            <w:r>
              <w:rPr>
                <w:rFonts w:ascii="仿宋_GB2312" w:hAnsi="仿宋_GB2312" w:cs="仿宋_GB2312" w:eastAsia="仿宋_GB2312"/>
              </w:rPr>
              <w:t>2.人行道路面修复:中标人负责对采购人所辖区域内道路两侧的人行道路面、井盖进行日常巡查、维护、保养，及时修复路面破损、坑洼等问题。</w:t>
            </w:r>
            <w:r>
              <w:br/>
            </w:r>
            <w:r>
              <w:rPr>
                <w:rFonts w:ascii="仿宋_GB2312" w:hAnsi="仿宋_GB2312" w:cs="仿宋_GB2312" w:eastAsia="仿宋_GB2312"/>
              </w:rPr>
              <w:t xml:space="preserve"> 二、维护标准:</w:t>
            </w:r>
          </w:p>
          <w:p>
            <w:pPr>
              <w:pStyle w:val="null5"/>
              <w:jc w:val="left"/>
            </w:pPr>
            <w:r>
              <w:rPr>
                <w:rFonts w:ascii="仿宋_GB2312" w:hAnsi="仿宋_GB2312" w:cs="仿宋_GB2312" w:eastAsia="仿宋_GB2312"/>
              </w:rPr>
              <w:t>1.路灯维护:路灯应保持良好的照明效果，无故障、无漏电现象。</w:t>
            </w:r>
          </w:p>
          <w:p>
            <w:pPr>
              <w:pStyle w:val="null5"/>
              <w:jc w:val="left"/>
            </w:pPr>
            <w:r>
              <w:rPr>
                <w:rFonts w:ascii="仿宋_GB2312" w:hAnsi="仿宋_GB2312" w:cs="仿宋_GB2312" w:eastAsia="仿宋_GB2312"/>
              </w:rPr>
              <w:t>2，污水泵站维护:污水泵站应保持正常运行，无异味、无堵塞、无泄漏现象。</w:t>
            </w:r>
          </w:p>
          <w:p>
            <w:pPr>
              <w:pStyle w:val="null5"/>
              <w:jc w:val="left"/>
            </w:pPr>
            <w:r>
              <w:rPr>
                <w:rFonts w:ascii="仿宋_GB2312" w:hAnsi="仿宋_GB2312" w:cs="仿宋_GB2312" w:eastAsia="仿宋_GB2312"/>
              </w:rPr>
              <w:t>3.人行道路面修复:人行道路面应保持平整、无坑洼、无破损、无松动现</w:t>
            </w:r>
          </w:p>
          <w:p>
            <w:pPr>
              <w:pStyle w:val="null5"/>
              <w:jc w:val="left"/>
            </w:pPr>
            <w:r>
              <w:br/>
            </w:r>
            <w:r>
              <w:rPr>
                <w:rFonts w:ascii="仿宋_GB2312" w:hAnsi="仿宋_GB2312" w:cs="仿宋_GB2312" w:eastAsia="仿宋_GB2312"/>
              </w:rPr>
              <w:t xml:space="preserve"> 三、维护范围:石拐喜桂图新区。</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 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审查投标人递交投标文件截止之日前一年内 (至少一个月) 的良好缴纳税收的相关凭据。 (以 税务机关提供的纳税凭据或银行入账单为准) 2.提供递交投标文件截止之日前一年内 (至少一 个月) 缴纳社会保险的凭证。(以专用收据或社会保险缴纳清单为准) 注：其他组织和自然人 也需要提供缴纳税收的凭据金额缴纳社保的凭据。依法免税或不需要缴纳社会保障资金的供 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市政维护组织设计内容</w:t>
            </w:r>
          </w:p>
        </w:tc>
        <w:tc>
          <w:tcPr>
            <w:tcW w:type="dxa" w:w="3115"/>
          </w:tcPr>
          <w:p>
            <w:pPr>
              <w:pStyle w:val="null5"/>
              <w:jc w:val="left"/>
            </w:pPr>
            <w:r>
              <w:rPr>
                <w:rFonts w:ascii="仿宋_GB2312" w:hAnsi="仿宋_GB2312" w:cs="仿宋_GB2312" w:eastAsia="仿宋_GB2312"/>
              </w:rPr>
              <w:t>市政维护施工组织设计，视维护专项维护组织设计内容全面、完整，能够指导维护作业，符合现场实际情况，(1)针对性强，内容全面、详细，描述准确、规范，完全符合要求，得10分；(2)针对性较强，内容较详细，描述较规范，符合要求，得6分；(3）内容基本齐全，基本符合要求，得2分;(4)内容不齐全，表述不清楚，得1分；（5）无相关内容或不符合要求不得分。不符合要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维护方案与技术措施</w:t>
            </w:r>
          </w:p>
        </w:tc>
        <w:tc>
          <w:tcPr>
            <w:tcW w:type="dxa" w:w="3115"/>
          </w:tcPr>
          <w:p>
            <w:pPr>
              <w:pStyle w:val="null5"/>
              <w:jc w:val="left"/>
            </w:pPr>
            <w:r>
              <w:rPr>
                <w:rFonts w:ascii="仿宋_GB2312" w:hAnsi="仿宋_GB2312" w:cs="仿宋_GB2312" w:eastAsia="仿宋_GB2312"/>
              </w:rPr>
              <w:t xml:space="preserve"> 1.维护方案，视维护专项方案先进、方法可行，技术措施针对工程质量、维护计划和施工安全生产保障程度，(1)针对性强，内容全面、详细，描述准确、规范，完全符合要求，得7分；(2)针对性较强，内容较详细，描述较规范，符合要求，得5分；(3）内容基本齐全，基本符合要求，得2分;(4)内容不齐全，表述不清楚，得1分；（5）无相关内容或不符合要求不得分。 2.合理建立自查、巡查设施制度，符合采购人要求，视合理程度进行评审，本项最多得3分。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控制计划，视完整性、岗位责任明确、材料采购、过程控制及检验、分项措施有针对性，(1)内容全面、详细，完全符合要求，得10分；(2)内容较详细，符合要求，得6分；(3）内容基本齐全，基本符合要求，得2分；(4)内容不齐全，表述不清楚，得1分；（5）无相关内容或不符合要求不得分。不符合要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健全、单位工程安全防护方案符合国家及地方管理规定，防护措施有针对性，(1)针对性强，内容全面、详细，完全符合采购需求，得10分；(2)针对性较强，内容较详细，符合采购需求，得6分；(3）内容基本齐全，基本符合采购需求，得2分;(4)内容不齐全，表述不清楚，得1分，（5）无相关内容或不符合要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环境管理体系与措施</w:t>
            </w:r>
          </w:p>
        </w:tc>
        <w:tc>
          <w:tcPr>
            <w:tcW w:type="dxa" w:w="3115"/>
          </w:tcPr>
          <w:p>
            <w:pPr>
              <w:pStyle w:val="null5"/>
              <w:jc w:val="left"/>
            </w:pPr>
            <w:r>
              <w:rPr>
                <w:rFonts w:ascii="仿宋_GB2312" w:hAnsi="仿宋_GB2312" w:cs="仿宋_GB2312" w:eastAsia="仿宋_GB2312"/>
              </w:rPr>
              <w:t>环境保护管理体系健全、污染物处理及排放符合国家及地方环境保护标准、技术及管理措施到位，视合理程度，(1)针对性强，内容全面、详细，完全符合采购需求，得10分；(2)针对性较强，内容较详细，符合采购需求，得6分；(3）内容基本齐全，基本符合采购需求，得2分;(4)内容不齐全，表述不清楚，得1分，（5）无相关内容或不符合要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维护进度计划与措施</w:t>
            </w:r>
          </w:p>
        </w:tc>
        <w:tc>
          <w:tcPr>
            <w:tcW w:type="dxa" w:w="3115"/>
          </w:tcPr>
          <w:p>
            <w:pPr>
              <w:pStyle w:val="null5"/>
              <w:jc w:val="left"/>
            </w:pPr>
            <w:r>
              <w:rPr>
                <w:rFonts w:ascii="仿宋_GB2312" w:hAnsi="仿宋_GB2312" w:cs="仿宋_GB2312" w:eastAsia="仿宋_GB2312"/>
              </w:rPr>
              <w:t>维护进度计划及措施符合本项目采购需求，（1）进度计划合理、可行，措施得力程度符合本项目采购需求，得10分，（2）进度计划较合理，措施较得力较符合本项目采购需求，得6分；（3）进度计划比切实际，措施表述不清，得2分；（4）无相关内容或不符合本项目采购需求，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1、提供全面、科学合理、有针对性的应急预案、防洪预案，（1）编写内容详细全面，符合本项目需求得7分；（2）编写内容一般，基本符合本项目需求得4分；（3）编写内容没有条理，得2分。（4）无相关内容或不符合本项目需求不得分；2、保证按维护应急要求，2小时内到达现场，得3分；4小时内到达现场，得1分；超过4小时不得分。（提供承诺函）</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对供应商提供的服务承诺进行评价，包括但不限于服务内容、服务承诺、服务标准、技术支持等内容： 1、承诺每周按照甲方要求出具考核表，考核表内容由甲方提供，得2分，不提供或不符合不得分。 2、符合相关标准规范要求，承诺修复后的市政设施符合包头市创城标准要求，得2分，不提供或不符合不得分。 3、承诺按照甲方要求的进度计划执行且制定的进度计划与措施符合甲方要求，得2分，不提供或不符合不得分。 4、承诺按照甲方要求的路灯备品备件品类进行预备，且备品备件比例不低于采购计划更换数量的10%，得2分，不提供或不符合不得分。 5、供应商承诺按照甲方要求对设施进行巡查，得2分，不提供或不符合不得分。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供应商提供近三年（2022年至今）承揽过的类似业绩,每提供一项得2分，最多得10分。（响应文件中需提供合同或中标通知书原件的扫描件，未提供不得分）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