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哈业胡同镇南部集中供水备用水源井配套工程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包头市九原区哈业胡同镇人民政府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内蒙古协和工程管理有限责任公司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BTZCJYS-C-G-250005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内蒙古协和工程管理有限责任公司</w:t>
      </w:r>
      <w:r>
        <w:rPr>
          <w:rFonts w:ascii="仿宋_GB2312" w:hAnsi="仿宋_GB2312" w:cs="仿宋_GB2312" w:eastAsia="仿宋_GB2312"/>
        </w:rPr>
        <w:t xml:space="preserve"> 受 </w:t>
      </w:r>
      <w:r>
        <w:rPr>
          <w:rFonts w:ascii="仿宋_GB2312" w:hAnsi="仿宋_GB2312" w:cs="仿宋_GB2312" w:eastAsia="仿宋_GB2312"/>
        </w:rPr>
        <w:t>包头市九原区哈业胡同镇人民政府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哈业胡同镇南部集中供水备用水源井配套工程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哈业胡同镇南部集中供水备用水源井配套工程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BTZCJYS-C-G-250005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包政采计划[2025]九原00140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949,052.00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哈业胡同镇南部集中供水备用水源井配套工程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949,052.00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1、资质等级及范围：供应商须具有建设行政主管部门颁发的水利水电工程施工总承包三级及以上资质，并具有有效的安全生产许可证。</w:t>
      </w:r>
    </w:p>
    <w:p>
      <w:pPr>
        <w:pStyle w:val="null5"/>
        <w:jc w:val="left"/>
      </w:pPr>
      <w:r>
        <w:rPr>
          <w:rFonts w:ascii="仿宋_GB2312" w:hAnsi="仿宋_GB2312" w:cs="仿宋_GB2312" w:eastAsia="仿宋_GB2312"/>
        </w:rPr>
        <w:t>2、项目负责人资质类别和等级：水利水电工程专业注册二级及以上建造师职业资格，具备有效的安全生产考核合格证书，且不得担任其他在施建设工程项目的项目经理。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内蒙古协和工程管理有限责任公司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内蒙古自治区包头市青山区友谊大街67号传媒大厦A座1602室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13848620357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包头市九原区哈业胡同镇人民政府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包头市九原区哈业胡同镇人民政府</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014060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6962078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包头市九原区哈业胡同镇人民政府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内蒙古协和工程管理有限责任公司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主要建设内容为新建饮用水源井2眼,每眼井深240米,共计480米；新建井房2间,每间规格为3米*4米*2.5米；安装1.25Mpa PE160供水管线2650米、PE110管米41米,开挖回填管沟槽 2685米。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九原区哈业胡同镇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1、根据工程进度支付，达到付款条件起10日，支付合同总金额的97.00%</w:t>
            </w:r>
          </w:p>
          <w:p>
            <w:pPr>
              <w:pStyle w:val="null5"/>
              <w:jc w:val="left"/>
            </w:pPr>
            <w:r>
              <w:rPr>
                <w:rFonts w:ascii="仿宋_GB2312" w:hAnsi="仿宋_GB2312" w:cs="仿宋_GB2312" w:eastAsia="仿宋_GB2312"/>
              </w:rPr>
              <w:t>2、竣工验收合格，一年后支付，达到付款条件起10日，支付合同总金额的3.00%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1.项目名称：哈业胡同镇南部集中供水备用水源井配套工程；</w:t>
              <w:br/>
              <w:t>2.工程建设地点：实施地点位于九原区哈业胡同镇；</w:t>
              <w:br/>
              <w:t>3.计划工期：60日历天，2025年3月-2025年5月；</w:t>
              <w:br/>
              <w:t>4.工程范围及规模：主要建设内容为新建饮用水源井2眼,每眼井深240米,共计480米；新建井房2间,每间规格为3米*4米*2.5米；安装1.25Mpa PE160供水管线2650米、PE110管米41米,开挖回填管沟槽 2685米；</w:t>
              <w:br/>
              <w:t>5.质量要求：符合国家工程质量验收合格标准；安全要求：符合国家工程安全标准；</w:t>
              <w:br/>
              <w:t>6.保修期：符合国家工程质量保修标准。</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同一公司分支机构投标的视为同一投标人，单位负责人为同一人或者存在直接控股、管理关系的不同供应商，不得参加同一合同项下的政府采购活动。2.采购代理服务费由成交供应商交纳，采购代理服务费参考内蒙古自治区工程建设协会文件【内工建协（2022）34号】规定的收费标准进行取费，采购代理服务费不在响应报价中单列，由供应商在响应总价中自行消化。成交供应商须在领取成交通知书时交纳采购代理服务费。3.此项目为电子投标，制作投标文件时请到自治区政府采购网首页自行学习操作方法（网站上有操作视频），如遇问题无法解决可直接联系软件公司咨询。技术支持400-047-1010。4.本项目为远程开标，供应商需提前半小时登录系统签到，开标时远程解锁、确认。开标时，各供应商必须保证电脑可正常登陆、解密及签章。本项目设置解密、签章确认时间、最后报价时限均为30分钟，如供应商在规定时间内无法解密或签章，造成废标的，采购人及采购代理机构不承担任何责任。5.关于响应文件的要求：电子文件：网上上传电子文件1份，开标结束后，需将不加密响应文件电子版发送至代理机构邮箱 nmgxhgcgl@126.com，注明项目名称和单位名称。6.由于本项目采用电子系统招标，后台招标文件为系统模板，根据具体项目的情况无法准确描述，部分内容只可填空，不可更改。所以招标文件中有不适用之处如有问题，请及时联系招标代理公司。7.评标委员会认为供应商的报价明显低于其他通过符合性审查供应商报价，有可能影响服务质量或者不能诚信履约的，应当要求其在评审现场合理的时间内提供书面说明，必要时提交相关证明材料；供应商不能证明其报价合理性的，评标委员会应当将其作为无效标处理。</w:t>
              <w:br/>
              <w:t>8. 最高投标限价：最高投标限价：949052元，超出此最高投标限价的报价为无效投标。</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标的名称：哈业胡同镇南部集中供水备用水源井配套工程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工程建设标准：根据设计文件要求，本招标工程项目的材料、设备、施工须达到现行中华人民共和国以及内蒙古自治区或行业的工程建设标准、规范的要求。在施工过程中，如国家有新法规规范颁布，应以新颁布的法规规范为准。工程技术规范、标准由投标人自行获取。本工程执行下列有关技术标准、规范、规程但不限于以下技术标准、规程、规范。设计文件及设计文件所采用的技术标准规范；</w:t>
            </w:r>
            <w:r>
              <w:rPr>
                <w:rFonts w:ascii="仿宋_GB2312" w:hAnsi="仿宋_GB2312" w:cs="仿宋_GB2312" w:eastAsia="仿宋_GB2312"/>
                <w:sz w:val="21"/>
                <w:color w:val="000000"/>
              </w:rPr>
              <w:t>国家和行业现行施工及验收主要规程、规范、标准。</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工程量清单说明</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、投标报价说明</w:t>
            </w:r>
          </w:p>
          <w:p>
            <w:pPr>
              <w:pStyle w:val="null5"/>
              <w:jc w:val="left"/>
            </w:pPr>
            <w:r>
              <w:rPr>
                <w:rFonts w:ascii="仿宋_GB2312" w:hAnsi="仿宋_GB2312" w:cs="仿宋_GB2312" w:eastAsia="仿宋_GB2312"/>
                <w:sz w:val="21"/>
              </w:rPr>
              <w:t>1.1</w:t>
            </w:r>
            <w:r>
              <w:rPr>
                <w:rFonts w:ascii="仿宋_GB2312" w:hAnsi="仿宋_GB2312" w:cs="仿宋_GB2312" w:eastAsia="仿宋_GB2312"/>
                <w:sz w:val="21"/>
              </w:rPr>
              <w:t>投标报价的原则</w:t>
            </w:r>
          </w:p>
          <w:p>
            <w:pPr>
              <w:pStyle w:val="null5"/>
              <w:jc w:val="left"/>
            </w:pPr>
            <w:r>
              <w:rPr>
                <w:rFonts w:ascii="仿宋_GB2312" w:hAnsi="仿宋_GB2312" w:cs="仿宋_GB2312" w:eastAsia="仿宋_GB2312"/>
                <w:sz w:val="21"/>
              </w:rPr>
              <w:t xml:space="preserve">1.1.1 </w:t>
            </w:r>
            <w:r>
              <w:rPr>
                <w:rFonts w:ascii="仿宋_GB2312" w:hAnsi="仿宋_GB2312" w:cs="仿宋_GB2312" w:eastAsia="仿宋_GB2312"/>
                <w:sz w:val="21"/>
              </w:rPr>
              <w:t>投标报价由投标人依据招标文件、工程量清单、清单澄清（如存在）、施工图纸、国家标准、行业规范、施工现场实际情况，凭借自身的经验，结合自身技术和管理水平、经营状况、机械配置以及制定的施工方案、施工组织设计和招标文件有关要求，按照现行定额和市场信息，自主确定投标报价，但不得低于成本价报价。</w:t>
            </w:r>
          </w:p>
          <w:p>
            <w:pPr>
              <w:pStyle w:val="null5"/>
              <w:jc w:val="left"/>
            </w:pPr>
            <w:r>
              <w:rPr>
                <w:rFonts w:ascii="仿宋_GB2312" w:hAnsi="仿宋_GB2312" w:cs="仿宋_GB2312" w:eastAsia="仿宋_GB2312"/>
                <w:sz w:val="21"/>
              </w:rPr>
              <w:t>1.1.2</w:t>
            </w:r>
            <w:r>
              <w:rPr>
                <w:rFonts w:ascii="仿宋_GB2312" w:hAnsi="仿宋_GB2312" w:cs="仿宋_GB2312" w:eastAsia="仿宋_GB2312"/>
                <w:sz w:val="21"/>
              </w:rPr>
              <w:t>投标人应按招标文件及工程量清单、清单澄清（如存在）提供的清单格式填写工程项目的单价和合价，投标人不得修改工程量清单项目及清单工程量，否则按废标处理。单价与总价不一致时，以单价为准。没有填写单价和合价的项目将不予支付，并认为此项目已包括在报价的其他单价和合价中。</w:t>
            </w:r>
          </w:p>
          <w:p>
            <w:pPr>
              <w:pStyle w:val="null5"/>
              <w:jc w:val="left"/>
            </w:pPr>
            <w:r>
              <w:rPr>
                <w:rFonts w:ascii="仿宋_GB2312" w:hAnsi="仿宋_GB2312" w:cs="仿宋_GB2312" w:eastAsia="仿宋_GB2312"/>
                <w:sz w:val="21"/>
              </w:rPr>
              <w:t xml:space="preserve">1.1.3 </w:t>
            </w:r>
            <w:r>
              <w:rPr>
                <w:rFonts w:ascii="仿宋_GB2312" w:hAnsi="仿宋_GB2312" w:cs="仿宋_GB2312" w:eastAsia="仿宋_GB2312"/>
                <w:sz w:val="21"/>
              </w:rPr>
              <w:t>在工程量清单范围内所有项目，投标人没有计算或少计算费用，均视为此费用己包括在投标报价中，该费用除招标文件或合同另有约定外，结算时均不予调整。</w:t>
            </w:r>
          </w:p>
          <w:p>
            <w:pPr>
              <w:pStyle w:val="null5"/>
              <w:jc w:val="left"/>
            </w:pPr>
            <w:r>
              <w:rPr>
                <w:rFonts w:ascii="仿宋_GB2312" w:hAnsi="仿宋_GB2312" w:cs="仿宋_GB2312" w:eastAsia="仿宋_GB2312"/>
                <w:sz w:val="21"/>
              </w:rPr>
              <w:t>1.1.4</w:t>
            </w:r>
            <w:r>
              <w:rPr>
                <w:rFonts w:ascii="仿宋_GB2312" w:hAnsi="仿宋_GB2312" w:cs="仿宋_GB2312" w:eastAsia="仿宋_GB2312"/>
                <w:sz w:val="21"/>
              </w:rPr>
              <w:t>工程量清单报价表中所填入的固定综合单价和合价均包括人工费、材料费、机械费、管理费、利润以及采用固定综合价格的工程所测算的风险金等全部费用。</w:t>
            </w:r>
          </w:p>
          <w:p>
            <w:pPr>
              <w:pStyle w:val="null5"/>
              <w:jc w:val="left"/>
            </w:pPr>
            <w:r>
              <w:rPr>
                <w:rFonts w:ascii="仿宋_GB2312" w:hAnsi="仿宋_GB2312" w:cs="仿宋_GB2312" w:eastAsia="仿宋_GB2312"/>
                <w:sz w:val="21"/>
              </w:rPr>
              <w:t>1.1.5</w:t>
            </w:r>
            <w:r>
              <w:rPr>
                <w:rFonts w:ascii="仿宋_GB2312" w:hAnsi="仿宋_GB2312" w:cs="仿宋_GB2312" w:eastAsia="仿宋_GB2312"/>
                <w:sz w:val="21"/>
              </w:rPr>
              <w:t>凡发包人给定的暂列金额应按工程量清单中的</w:t>
            </w:r>
            <w:r>
              <w:rPr>
                <w:rFonts w:ascii="仿宋_GB2312" w:hAnsi="仿宋_GB2312" w:cs="仿宋_GB2312" w:eastAsia="仿宋_GB2312"/>
                <w:sz w:val="21"/>
              </w:rPr>
              <w:t>“其他项目清单”发包人的暂列金额列入投标报价，其结算价格应按本招标文件的有关规定或发包人与承包人签订合同的有关约定执行。</w:t>
            </w:r>
          </w:p>
          <w:p>
            <w:pPr>
              <w:pStyle w:val="null5"/>
              <w:jc w:val="left"/>
            </w:pPr>
            <w:r>
              <w:rPr>
                <w:rFonts w:ascii="仿宋_GB2312" w:hAnsi="仿宋_GB2312" w:cs="仿宋_GB2312" w:eastAsia="仿宋_GB2312"/>
                <w:sz w:val="21"/>
              </w:rPr>
              <w:t>1.1.6</w:t>
            </w:r>
            <w:r>
              <w:rPr>
                <w:rFonts w:ascii="仿宋_GB2312" w:hAnsi="仿宋_GB2312" w:cs="仿宋_GB2312" w:eastAsia="仿宋_GB2312"/>
                <w:sz w:val="21"/>
              </w:rPr>
              <w:t>投标人应充分预见到各种风险，其投标报价应为施工图、工程量清单、工程招标范围内全部内容的体现，应包含但不限于为本工程的施工准备、施工、竣工、废物拆除及现场清理及保修而发生的各项应有费用，其中包括施工机械、劳务、材料、管理费、利润、规费、税金、合同包含的可预见风险、责任、调遣费、停窝工损失费、交叉作业费（包括但不限于与管廊内供热等管线设施以及管廊外的各类管线和道路施工的交叉作业）、通用项目措施费和专业项目措施费、环境污染、试验费、药品、垃圾外运、施工措施增加费等。以及投标人在施工过程中可能发生的各种费用均应包括在汇总价中。本工程的投标报价应包括但不限于下列内容：</w:t>
            </w:r>
          </w:p>
          <w:p>
            <w:pPr>
              <w:pStyle w:val="null5"/>
              <w:jc w:val="left"/>
            </w:pPr>
            <w:r>
              <w:rPr>
                <w:rFonts w:ascii="仿宋_GB2312" w:hAnsi="仿宋_GB2312" w:cs="仿宋_GB2312" w:eastAsia="仿宋_GB2312"/>
                <w:sz w:val="21"/>
              </w:rPr>
              <w:t>a</w:t>
            </w:r>
            <w:r>
              <w:rPr>
                <w:rFonts w:ascii="仿宋_GB2312" w:hAnsi="仿宋_GB2312" w:cs="仿宋_GB2312" w:eastAsia="仿宋_GB2312"/>
                <w:sz w:val="21"/>
              </w:rPr>
              <w:t>、投标人应按规定的工程量清单报价，投标单位必须承担本分包工程的全部技术责任和价格风险，投标人均应在其报价中充分考虑。</w:t>
            </w:r>
          </w:p>
          <w:p>
            <w:pPr>
              <w:pStyle w:val="null5"/>
              <w:jc w:val="left"/>
            </w:pPr>
            <w:r>
              <w:rPr>
                <w:rFonts w:ascii="仿宋_GB2312" w:hAnsi="仿宋_GB2312" w:cs="仿宋_GB2312" w:eastAsia="仿宋_GB2312"/>
                <w:sz w:val="21"/>
              </w:rPr>
              <w:t>b</w:t>
            </w:r>
            <w:r>
              <w:rPr>
                <w:rFonts w:ascii="仿宋_GB2312" w:hAnsi="仿宋_GB2312" w:cs="仿宋_GB2312" w:eastAsia="仿宋_GB2312"/>
                <w:sz w:val="21"/>
              </w:rPr>
              <w:t>、投标人应充分考虑停电、停水、二次搬运、施工场地不足、成品保护等情况可能导致的费用和工期，并已充分考虑了其他可能因素影响施工所增加的费用。</w:t>
            </w:r>
          </w:p>
          <w:p>
            <w:pPr>
              <w:pStyle w:val="null5"/>
              <w:jc w:val="left"/>
            </w:pP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sz w:val="21"/>
              </w:rPr>
              <w:t>投标价格应包含投标人现场内自身住宿、库房等临时设施的搭设及完工后的拆走、清理、清洁及平整的费用。</w:t>
            </w:r>
          </w:p>
          <w:p>
            <w:pPr>
              <w:pStyle w:val="null5"/>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sz w:val="21"/>
              </w:rPr>
              <w:t>投标价格应包含投标人自身施工垃圾的现场清理、场内外运输等费用。</w:t>
            </w:r>
          </w:p>
          <w:p>
            <w:pPr>
              <w:pStyle w:val="null5"/>
              <w:jc w:val="left"/>
            </w:pPr>
            <w:r>
              <w:rPr>
                <w:rFonts w:ascii="仿宋_GB2312" w:hAnsi="仿宋_GB2312" w:cs="仿宋_GB2312" w:eastAsia="仿宋_GB2312"/>
                <w:sz w:val="21"/>
              </w:rPr>
              <w:t>e</w:t>
            </w:r>
            <w:r>
              <w:rPr>
                <w:rFonts w:ascii="仿宋_GB2312" w:hAnsi="仿宋_GB2312" w:cs="仿宋_GB2312" w:eastAsia="仿宋_GB2312"/>
                <w:sz w:val="21"/>
              </w:rPr>
              <w:t>、投标价格应包含按照发包人有关现场文明、环境保护等管理要求需由投标人自行设置的现场标识、器具等费用。</w:t>
            </w:r>
          </w:p>
          <w:p>
            <w:pPr>
              <w:pStyle w:val="null5"/>
              <w:jc w:val="left"/>
            </w:pPr>
            <w:r>
              <w:rPr>
                <w:rFonts w:ascii="仿宋_GB2312" w:hAnsi="仿宋_GB2312" w:cs="仿宋_GB2312" w:eastAsia="仿宋_GB2312"/>
                <w:sz w:val="21"/>
              </w:rPr>
              <w:t>f</w:t>
            </w:r>
            <w:r>
              <w:rPr>
                <w:rFonts w:ascii="仿宋_GB2312" w:hAnsi="仿宋_GB2312" w:cs="仿宋_GB2312" w:eastAsia="仿宋_GB2312"/>
                <w:sz w:val="21"/>
              </w:rPr>
              <w:t>、投标价格包含的工作内容如投标人无法完成，发包人可视情况代为完成，发生的费用从投标人的结算价款中扣除，投标人还须承担由此造成的其他额外损失。</w:t>
            </w:r>
          </w:p>
          <w:p>
            <w:pPr>
              <w:pStyle w:val="null5"/>
              <w:jc w:val="left"/>
            </w:pPr>
            <w:r>
              <w:rPr>
                <w:rFonts w:ascii="仿宋_GB2312" w:hAnsi="仿宋_GB2312" w:cs="仿宋_GB2312" w:eastAsia="仿宋_GB2312"/>
                <w:sz w:val="21"/>
              </w:rPr>
              <w:t>1.1.7</w:t>
            </w:r>
            <w:r>
              <w:rPr>
                <w:rFonts w:ascii="仿宋_GB2312" w:hAnsi="仿宋_GB2312" w:cs="仿宋_GB2312" w:eastAsia="仿宋_GB2312"/>
                <w:sz w:val="21"/>
              </w:rPr>
              <w:t>投标报价必须按招标文件提供的工程量清单顺序及样式填报，同时提交所有的综合单价分析表、费率表、主材表，不得对招标文件提供的工程量清单进行重新编排修改。</w:t>
            </w:r>
          </w:p>
          <w:p>
            <w:pPr>
              <w:pStyle w:val="null5"/>
              <w:jc w:val="left"/>
            </w:pPr>
            <w:r>
              <w:rPr>
                <w:rFonts w:ascii="仿宋_GB2312" w:hAnsi="仿宋_GB2312" w:cs="仿宋_GB2312" w:eastAsia="仿宋_GB2312"/>
                <w:sz w:val="21"/>
              </w:rPr>
              <w:t>1.1.8</w:t>
            </w:r>
            <w:r>
              <w:rPr>
                <w:rFonts w:ascii="仿宋_GB2312" w:hAnsi="仿宋_GB2312" w:cs="仿宋_GB2312" w:eastAsia="仿宋_GB2312"/>
                <w:sz w:val="21"/>
              </w:rPr>
              <w:t>当报价存在优惠时，要求注明具体优惠内容。</w:t>
            </w:r>
          </w:p>
          <w:p>
            <w:pPr>
              <w:pStyle w:val="null5"/>
              <w:jc w:val="left"/>
            </w:pPr>
            <w:r>
              <w:rPr>
                <w:rFonts w:ascii="仿宋_GB2312" w:hAnsi="仿宋_GB2312" w:cs="仿宋_GB2312" w:eastAsia="仿宋_GB2312"/>
                <w:sz w:val="21"/>
              </w:rPr>
              <w:t>1.2</w:t>
            </w:r>
            <w:r>
              <w:rPr>
                <w:rFonts w:ascii="仿宋_GB2312" w:hAnsi="仿宋_GB2312" w:cs="仿宋_GB2312" w:eastAsia="仿宋_GB2312"/>
                <w:sz w:val="21"/>
              </w:rPr>
              <w:t>工程计价方法及结算</w:t>
            </w:r>
          </w:p>
          <w:p>
            <w:pPr>
              <w:pStyle w:val="null5"/>
              <w:jc w:val="left"/>
            </w:pPr>
            <w:r>
              <w:rPr>
                <w:rFonts w:ascii="仿宋_GB2312" w:hAnsi="仿宋_GB2312" w:cs="仿宋_GB2312" w:eastAsia="仿宋_GB2312"/>
                <w:sz w:val="21"/>
              </w:rPr>
              <w:t>1.2.1</w:t>
            </w:r>
            <w:r>
              <w:rPr>
                <w:rFonts w:ascii="仿宋_GB2312" w:hAnsi="仿宋_GB2312" w:cs="仿宋_GB2312" w:eastAsia="仿宋_GB2312"/>
                <w:sz w:val="21"/>
              </w:rPr>
              <w:t>工程量清单计价方法：本工程计价方法为工程量清单（固定综合单价法），投标人须按招标文件要求对工程量清单进行报价，投标人所报工程的综合单价原则上今后不再调整。</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）工程量清单计价执行国家标准《建设量清单计价规范》</w:t>
            </w:r>
            <w:r>
              <w:rPr>
                <w:rFonts w:ascii="仿宋_GB2312" w:hAnsi="仿宋_GB2312" w:cs="仿宋_GB2312" w:eastAsia="仿宋_GB2312"/>
                <w:sz w:val="21"/>
              </w:rPr>
              <w:t>GB50500-2013</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）工程量清单编制依据</w:t>
            </w:r>
          </w:p>
          <w:p>
            <w:pPr>
              <w:pStyle w:val="null5"/>
              <w:jc w:val="left"/>
            </w:pPr>
            <w:r>
              <w:rPr>
                <w:rFonts w:ascii="仿宋_GB2312" w:hAnsi="仿宋_GB2312" w:cs="仿宋_GB2312" w:eastAsia="仿宋_GB2312"/>
                <w:sz w:val="21"/>
              </w:rPr>
              <w:t>a.GB50500-2013</w:t>
            </w:r>
            <w:r>
              <w:rPr>
                <w:rFonts w:ascii="仿宋_GB2312" w:hAnsi="仿宋_GB2312" w:cs="仿宋_GB2312" w:eastAsia="仿宋_GB2312"/>
                <w:sz w:val="21"/>
              </w:rPr>
              <w:t>《建设工程量清单计价规范》；</w:t>
            </w:r>
          </w:p>
          <w:p>
            <w:pPr>
              <w:pStyle w:val="null5"/>
              <w:jc w:val="left"/>
            </w:pPr>
            <w:r>
              <w:rPr>
                <w:rFonts w:ascii="仿宋_GB2312" w:hAnsi="仿宋_GB2312" w:cs="仿宋_GB2312" w:eastAsia="仿宋_GB2312"/>
                <w:sz w:val="21"/>
              </w:rPr>
              <w:t>b.</w:t>
            </w:r>
            <w:r>
              <w:rPr>
                <w:rFonts w:ascii="仿宋_GB2312" w:hAnsi="仿宋_GB2312" w:cs="仿宋_GB2312" w:eastAsia="仿宋_GB2312"/>
                <w:sz w:val="21"/>
              </w:rPr>
              <w:t>《内蒙古自治区建设工程计价依据（</w:t>
            </w:r>
            <w:r>
              <w:rPr>
                <w:rFonts w:ascii="仿宋_GB2312" w:hAnsi="仿宋_GB2312" w:cs="仿宋_GB2312" w:eastAsia="仿宋_GB2312"/>
                <w:sz w:val="21"/>
              </w:rPr>
              <w:t>2017</w:t>
            </w:r>
            <w:r>
              <w:rPr>
                <w:rFonts w:ascii="仿宋_GB2312" w:hAnsi="仿宋_GB2312" w:cs="仿宋_GB2312" w:eastAsia="仿宋_GB2312"/>
                <w:sz w:val="21"/>
              </w:rPr>
              <w:t>届）》</w:t>
            </w:r>
          </w:p>
          <w:p>
            <w:pPr>
              <w:pStyle w:val="null5"/>
              <w:jc w:val="left"/>
            </w:pPr>
            <w:r>
              <w:rPr>
                <w:rFonts w:ascii="仿宋_GB2312" w:hAnsi="仿宋_GB2312" w:cs="仿宋_GB2312" w:eastAsia="仿宋_GB2312"/>
                <w:sz w:val="21"/>
              </w:rPr>
              <w:t>c.</w:t>
            </w:r>
            <w:r>
              <w:rPr>
                <w:rFonts w:ascii="仿宋_GB2312" w:hAnsi="仿宋_GB2312" w:cs="仿宋_GB2312" w:eastAsia="仿宋_GB2312"/>
                <w:sz w:val="21"/>
              </w:rPr>
              <w:t>本工程设计文件、施工设计图纸等有关技术资料；</w:t>
            </w:r>
          </w:p>
          <w:p>
            <w:pPr>
              <w:pStyle w:val="null5"/>
              <w:jc w:val="left"/>
            </w:pPr>
            <w:r>
              <w:rPr>
                <w:rFonts w:ascii="仿宋_GB2312" w:hAnsi="仿宋_GB2312" w:cs="仿宋_GB2312" w:eastAsia="仿宋_GB2312"/>
                <w:sz w:val="21"/>
              </w:rPr>
              <w:t>d.</w:t>
            </w:r>
            <w:r>
              <w:rPr>
                <w:rFonts w:ascii="仿宋_GB2312" w:hAnsi="仿宋_GB2312" w:cs="仿宋_GB2312" w:eastAsia="仿宋_GB2312"/>
                <w:sz w:val="21"/>
              </w:rPr>
              <w:t>与建设工程项目有关的标准、规范、技术资料；</w:t>
            </w:r>
          </w:p>
          <w:p>
            <w:pPr>
              <w:pStyle w:val="null5"/>
              <w:jc w:val="left"/>
            </w:pPr>
            <w:r>
              <w:rPr>
                <w:rFonts w:ascii="仿宋_GB2312" w:hAnsi="仿宋_GB2312" w:cs="仿宋_GB2312" w:eastAsia="仿宋_GB2312"/>
                <w:sz w:val="21"/>
              </w:rPr>
              <w:t>e.</w:t>
            </w:r>
            <w:r>
              <w:rPr>
                <w:rFonts w:ascii="仿宋_GB2312" w:hAnsi="仿宋_GB2312" w:cs="仿宋_GB2312" w:eastAsia="仿宋_GB2312"/>
                <w:sz w:val="21"/>
              </w:rPr>
              <w:t>招标文件及其补充通知、答疑纪要；</w:t>
            </w:r>
          </w:p>
          <w:p>
            <w:pPr>
              <w:pStyle w:val="null5"/>
              <w:jc w:val="left"/>
            </w:pPr>
            <w:r>
              <w:rPr>
                <w:rFonts w:ascii="仿宋_GB2312" w:hAnsi="仿宋_GB2312" w:cs="仿宋_GB2312" w:eastAsia="仿宋_GB2312"/>
                <w:sz w:val="21"/>
              </w:rPr>
              <w:t>f.</w:t>
            </w:r>
            <w:r>
              <w:rPr>
                <w:rFonts w:ascii="仿宋_GB2312" w:hAnsi="仿宋_GB2312" w:cs="仿宋_GB2312" w:eastAsia="仿宋_GB2312"/>
                <w:sz w:val="21"/>
              </w:rPr>
              <w:t>施工现场情况、工程特点及常规施工方案；</w:t>
            </w:r>
          </w:p>
          <w:p>
            <w:pPr>
              <w:pStyle w:val="null5"/>
              <w:jc w:val="left"/>
            </w:pPr>
            <w:r>
              <w:rPr>
                <w:rFonts w:ascii="仿宋_GB2312" w:hAnsi="仿宋_GB2312" w:cs="仿宋_GB2312" w:eastAsia="仿宋_GB2312"/>
                <w:sz w:val="21"/>
              </w:rPr>
              <w:t>g.</w:t>
            </w:r>
            <w:r>
              <w:rPr>
                <w:rFonts w:ascii="仿宋_GB2312" w:hAnsi="仿宋_GB2312" w:cs="仿宋_GB2312" w:eastAsia="仿宋_GB2312"/>
                <w:sz w:val="21"/>
              </w:rPr>
              <w:t>其他相关资料。</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）工程量清单计价的组成、编制、计价、格式、项目编码、项目名称、工程内容、计量单位和工程量计算规则等，必须严格按照</w:t>
            </w:r>
            <w:r>
              <w:rPr>
                <w:rFonts w:ascii="仿宋_GB2312" w:hAnsi="仿宋_GB2312" w:cs="仿宋_GB2312" w:eastAsia="仿宋_GB2312"/>
                <w:sz w:val="21"/>
              </w:rPr>
              <w:t>GB50500-2013</w:t>
            </w:r>
            <w:r>
              <w:rPr>
                <w:rFonts w:ascii="仿宋_GB2312" w:hAnsi="仿宋_GB2312" w:cs="仿宋_GB2312" w:eastAsia="仿宋_GB2312"/>
                <w:sz w:val="21"/>
              </w:rPr>
              <w:t>《建设工程量清单计价规范》的各项条款执行。</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）工程量清单计价的工程造价，应包括招标文件规定，完成工程量清单所列项目的全部费用，包括分部分项工程费、措施项目费、其他项目有费、规费和税金。</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）规费和税金全为不可竞争费用。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）措施项目费</w:t>
            </w:r>
          </w:p>
          <w:p>
            <w:pPr>
              <w:pStyle w:val="null5"/>
              <w:jc w:val="left"/>
            </w:pPr>
            <w:r>
              <w:rPr>
                <w:rFonts w:ascii="仿宋_GB2312" w:hAnsi="仿宋_GB2312" w:cs="仿宋_GB2312" w:eastAsia="仿宋_GB2312"/>
                <w:sz w:val="21"/>
              </w:rPr>
              <w:t>a.</w:t>
            </w:r>
            <w:r>
              <w:rPr>
                <w:rFonts w:ascii="仿宋_GB2312" w:hAnsi="仿宋_GB2312" w:cs="仿宋_GB2312" w:eastAsia="仿宋_GB2312"/>
                <w:sz w:val="21"/>
              </w:rPr>
              <w:t>措施项目费是指：为完成工程施工，发生于工程施工前和施工过程中非工程实体项目的费用。由通用项目措施费和专业项目措施费组成。</w:t>
            </w:r>
          </w:p>
          <w:p>
            <w:pPr>
              <w:pStyle w:val="null5"/>
              <w:jc w:val="left"/>
            </w:pPr>
            <w:r>
              <w:rPr>
                <w:rFonts w:ascii="仿宋_GB2312" w:hAnsi="仿宋_GB2312" w:cs="仿宋_GB2312" w:eastAsia="仿宋_GB2312"/>
                <w:sz w:val="21"/>
              </w:rPr>
              <w:t>B.</w:t>
            </w:r>
            <w:r>
              <w:rPr>
                <w:rFonts w:ascii="仿宋_GB2312" w:hAnsi="仿宋_GB2312" w:cs="仿宋_GB2312" w:eastAsia="仿宋_GB2312"/>
                <w:sz w:val="21"/>
              </w:rPr>
              <w:t>投标人可根据企业的实际情况，企业的综合实力、经营管理水平、施工方法、施工组织设计等因素对招标人所列的措施项目进行增补。</w:t>
            </w:r>
          </w:p>
          <w:p>
            <w:pPr>
              <w:pStyle w:val="null5"/>
              <w:jc w:val="left"/>
            </w:pPr>
            <w:r>
              <w:rPr>
                <w:rFonts w:ascii="仿宋_GB2312" w:hAnsi="仿宋_GB2312" w:cs="仿宋_GB2312" w:eastAsia="仿宋_GB2312"/>
                <w:sz w:val="21"/>
              </w:rPr>
              <w:t>1.2.2</w:t>
            </w:r>
            <w:r>
              <w:rPr>
                <w:rFonts w:ascii="仿宋_GB2312" w:hAnsi="仿宋_GB2312" w:cs="仿宋_GB2312" w:eastAsia="仿宋_GB2312"/>
                <w:sz w:val="21"/>
              </w:rPr>
              <w:t>工程量清单是招标文件的组成部分。</w:t>
            </w:r>
          </w:p>
          <w:p>
            <w:pPr>
              <w:pStyle w:val="null5"/>
              <w:jc w:val="left"/>
            </w:pPr>
            <w:r>
              <w:rPr>
                <w:rFonts w:ascii="仿宋_GB2312" w:hAnsi="仿宋_GB2312" w:cs="仿宋_GB2312" w:eastAsia="仿宋_GB2312"/>
                <w:sz w:val="21"/>
              </w:rPr>
              <w:t>1.2.3</w:t>
            </w:r>
            <w:r>
              <w:rPr>
                <w:rFonts w:ascii="仿宋_GB2312" w:hAnsi="仿宋_GB2312" w:cs="仿宋_GB2312" w:eastAsia="仿宋_GB2312"/>
                <w:sz w:val="21"/>
              </w:rPr>
              <w:t>工程量清单核实</w:t>
            </w:r>
          </w:p>
          <w:p>
            <w:pPr>
              <w:pStyle w:val="null5"/>
              <w:jc w:val="left"/>
            </w:pPr>
            <w:r>
              <w:rPr>
                <w:rFonts w:ascii="仿宋_GB2312" w:hAnsi="仿宋_GB2312" w:cs="仿宋_GB2312" w:eastAsia="仿宋_GB2312"/>
                <w:sz w:val="21"/>
              </w:rPr>
              <w:t>具体内容详见第七章。</w:t>
            </w:r>
          </w:p>
          <w:p>
            <w:pPr>
              <w:pStyle w:val="null5"/>
              <w:jc w:val="left"/>
            </w:pPr>
            <w:r>
              <w:rPr>
                <w:rFonts w:ascii="仿宋_GB2312" w:hAnsi="仿宋_GB2312" w:cs="仿宋_GB2312" w:eastAsia="仿宋_GB2312"/>
                <w:sz w:val="21"/>
              </w:rPr>
              <w:t>1.2.4</w:t>
            </w:r>
            <w:r>
              <w:rPr>
                <w:rFonts w:ascii="仿宋_GB2312" w:hAnsi="仿宋_GB2312" w:cs="仿宋_GB2312" w:eastAsia="仿宋_GB2312"/>
                <w:sz w:val="21"/>
              </w:rPr>
              <w:t>本工程计价参考依据</w:t>
            </w:r>
          </w:p>
          <w:p>
            <w:pPr>
              <w:pStyle w:val="null5"/>
              <w:jc w:val="left"/>
            </w:pPr>
            <w:r>
              <w:rPr>
                <w:rFonts w:ascii="仿宋_GB2312" w:hAnsi="仿宋_GB2312" w:cs="仿宋_GB2312" w:eastAsia="仿宋_GB2312"/>
                <w:sz w:val="21"/>
              </w:rPr>
              <w:t>以下给出的工程造价计价有关文件不认为是最全面的，涉及工程造价计价方面的文件、定额、资料，投标人应自行获取完整的资料。因文件、定额、资料不完整造成报价失误，投标人自行负责。</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）内蒙古自治区建设厅关于发布《内蒙古自治区建设工程计价依据（</w:t>
            </w:r>
            <w:r>
              <w:rPr>
                <w:rFonts w:ascii="仿宋_GB2312" w:hAnsi="仿宋_GB2312" w:cs="仿宋_GB2312" w:eastAsia="仿宋_GB2312"/>
                <w:sz w:val="21"/>
              </w:rPr>
              <w:t>2017</w:t>
            </w:r>
            <w:r>
              <w:rPr>
                <w:rFonts w:ascii="仿宋_GB2312" w:hAnsi="仿宋_GB2312" w:cs="仿宋_GB2312" w:eastAsia="仿宋_GB2312"/>
                <w:sz w:val="21"/>
              </w:rPr>
              <w:t>届）》（内建工【</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558</w:t>
            </w:r>
            <w:r>
              <w:rPr>
                <w:rFonts w:ascii="仿宋_GB2312" w:hAnsi="仿宋_GB2312" w:cs="仿宋_GB2312" w:eastAsia="仿宋_GB2312"/>
                <w:sz w:val="21"/>
              </w:rPr>
              <w:t>号文）的通知；</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）材差：参照《包头工程造价信息》发布的投标期信息价，并结合市场情况自主报价。</w:t>
            </w:r>
          </w:p>
          <w:p>
            <w:pPr>
              <w:pStyle w:val="null5"/>
              <w:jc w:val="left"/>
            </w:pPr>
            <w:r>
              <w:rPr>
                <w:rFonts w:ascii="仿宋_GB2312" w:hAnsi="仿宋_GB2312" w:cs="仿宋_GB2312" w:eastAsia="仿宋_GB2312"/>
                <w:sz w:val="21"/>
              </w:rPr>
              <w:t>1.2.5</w:t>
            </w:r>
            <w:r>
              <w:rPr>
                <w:rFonts w:ascii="仿宋_GB2312" w:hAnsi="仿宋_GB2312" w:cs="仿宋_GB2312" w:eastAsia="仿宋_GB2312"/>
                <w:sz w:val="21"/>
              </w:rPr>
              <w:t>结算及相应调整的约定</w:t>
            </w:r>
          </w:p>
          <w:p>
            <w:pPr>
              <w:pStyle w:val="null5"/>
              <w:jc w:val="left"/>
            </w:pPr>
            <w:r>
              <w:rPr>
                <w:rFonts w:ascii="仿宋_GB2312" w:hAnsi="仿宋_GB2312" w:cs="仿宋_GB2312" w:eastAsia="仿宋_GB2312"/>
                <w:sz w:val="21"/>
              </w:rPr>
              <w:t>a</w:t>
            </w:r>
            <w:r>
              <w:rPr>
                <w:rFonts w:ascii="仿宋_GB2312" w:hAnsi="仿宋_GB2312" w:cs="仿宋_GB2312" w:eastAsia="仿宋_GB2312"/>
                <w:sz w:val="21"/>
              </w:rPr>
              <w:t>、本工程为单价合同，单价原则上今后不再调整，如实际未按照项目特征描述中要求进行施工，则单价可根据实际完成情况进行调整，最终工程量由发包人、监理单位、承包人三方确定。</w:t>
            </w:r>
          </w:p>
          <w:p>
            <w:pPr>
              <w:pStyle w:val="null5"/>
              <w:jc w:val="left"/>
            </w:pPr>
            <w:r>
              <w:rPr>
                <w:rFonts w:ascii="仿宋_GB2312" w:hAnsi="仿宋_GB2312" w:cs="仿宋_GB2312" w:eastAsia="仿宋_GB2312"/>
                <w:sz w:val="21"/>
              </w:rPr>
              <w:t>b</w:t>
            </w:r>
            <w:r>
              <w:rPr>
                <w:rFonts w:ascii="仿宋_GB2312" w:hAnsi="仿宋_GB2312" w:cs="仿宋_GB2312" w:eastAsia="仿宋_GB2312"/>
                <w:sz w:val="21"/>
              </w:rPr>
              <w:t>、如施工过程中，工程现场甲方需要增加工程量，需要调整的，调整的结算办法如下：</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投标报价中有对应单价的执行对应单价，据实计算工程量；</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投标报价中有类似项对应单价的执行对应类似单价，据实计算工程量；</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投标中给出暂估价的材料价格确认办法执行施工期间包头工程造价信息，造价信息没有的由发包人牵头、监理单位、承包人共同询价确认，以确保工期顺利进行；</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在工程量清单范围内所有项目，投标人没有计算或少计算费用，均视为此费用已包括在投标报价中，结算时均不予调整。</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投标的最终总报价必须与对应的工程量清单计价总价及工程量清单分项报价一致，否则，评标委员会将按废标处理。</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投标报价中无对应及类似项对应单价的执行预（决）算。</w:t>
            </w:r>
          </w:p>
          <w:p>
            <w:pPr>
              <w:pStyle w:val="null5"/>
              <w:jc w:val="left"/>
            </w:pPr>
            <w:r>
              <w:rPr>
                <w:rFonts w:ascii="仿宋_GB2312" w:hAnsi="仿宋_GB2312" w:cs="仿宋_GB2312" w:eastAsia="仿宋_GB2312"/>
                <w:sz w:val="21"/>
              </w:rPr>
              <w:t>ｃ、施工过程中，每引起增加或减少的洽商或变更据实调整。调整依据按《内蒙古自治区建设工程计价依据（</w:t>
            </w:r>
            <w:r>
              <w:rPr>
                <w:rFonts w:ascii="仿宋_GB2312" w:hAnsi="仿宋_GB2312" w:cs="仿宋_GB2312" w:eastAsia="仿宋_GB2312"/>
                <w:sz w:val="21"/>
              </w:rPr>
              <w:t>2017</w:t>
            </w:r>
            <w:r>
              <w:rPr>
                <w:rFonts w:ascii="仿宋_GB2312" w:hAnsi="仿宋_GB2312" w:cs="仿宋_GB2312" w:eastAsia="仿宋_GB2312"/>
                <w:sz w:val="21"/>
              </w:rPr>
              <w:t>届）》（内建工【</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558</w:t>
            </w:r>
            <w:r>
              <w:rPr>
                <w:rFonts w:ascii="仿宋_GB2312" w:hAnsi="仿宋_GB2312" w:cs="仿宋_GB2312" w:eastAsia="仿宋_GB2312"/>
                <w:sz w:val="21"/>
              </w:rPr>
              <w:t>号文）的通知。计价规范采用</w:t>
            </w:r>
            <w:r>
              <w:rPr>
                <w:rFonts w:ascii="仿宋_GB2312" w:hAnsi="仿宋_GB2312" w:cs="仿宋_GB2312" w:eastAsia="仿宋_GB2312"/>
                <w:sz w:val="21"/>
              </w:rPr>
              <w:t>2013</w:t>
            </w:r>
            <w:r>
              <w:rPr>
                <w:rFonts w:ascii="仿宋_GB2312" w:hAnsi="仿宋_GB2312" w:cs="仿宋_GB2312" w:eastAsia="仿宋_GB2312"/>
                <w:sz w:val="21"/>
              </w:rPr>
              <w:t>工程量清单计价规范。</w:t>
            </w:r>
          </w:p>
          <w:p>
            <w:pPr>
              <w:pStyle w:val="null5"/>
              <w:jc w:val="left"/>
            </w:pPr>
            <w:r>
              <w:rPr>
                <w:rFonts w:ascii="仿宋_GB2312" w:hAnsi="仿宋_GB2312" w:cs="仿宋_GB2312" w:eastAsia="仿宋_GB2312"/>
                <w:sz w:val="21"/>
              </w:rPr>
              <w:t>D</w:t>
            </w:r>
            <w:r>
              <w:rPr>
                <w:rFonts w:ascii="仿宋_GB2312" w:hAnsi="仿宋_GB2312" w:cs="仿宋_GB2312" w:eastAsia="仿宋_GB2312"/>
                <w:sz w:val="21"/>
              </w:rPr>
              <w:t>、本工程为竞争性磋商，投标人需在一次报价基础上做二次报价，二次报价不得高于一次报价，竣工后经审核以审定金额</w:t>
            </w:r>
            <w:r>
              <w:rPr>
                <w:rFonts w:ascii="仿宋_GB2312" w:hAnsi="仿宋_GB2312" w:cs="仿宋_GB2312" w:eastAsia="仿宋_GB2312"/>
                <w:sz w:val="21"/>
              </w:rPr>
              <w:t>×二次报价的优惠率作为最终审定金额。</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其他说明</w:t>
            </w:r>
          </w:p>
          <w:p>
            <w:pPr>
              <w:pStyle w:val="null5"/>
              <w:jc w:val="left"/>
            </w:pPr>
            <w:r>
              <w:rPr>
                <w:rFonts w:ascii="仿宋_GB2312" w:hAnsi="仿宋_GB2312" w:cs="仿宋_GB2312" w:eastAsia="仿宋_GB2312"/>
                <w:sz w:val="21"/>
              </w:rPr>
              <w:t>2.1</w:t>
            </w:r>
            <w:r>
              <w:rPr>
                <w:rFonts w:ascii="仿宋_GB2312" w:hAnsi="仿宋_GB2312" w:cs="仿宋_GB2312" w:eastAsia="仿宋_GB2312"/>
                <w:sz w:val="21"/>
              </w:rPr>
              <w:t>投标人可自行到工地踏勘，以充分了解工地位置、情况、道路、储存空间、装卸限制及任何其他足以影响投标报价的情况，任何因忽视或误解工地情况而导致的索赔或工期延长申请将不获批准。</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报价其他说明</w:t>
            </w:r>
          </w:p>
          <w:p>
            <w:pPr>
              <w:pStyle w:val="null5"/>
              <w:jc w:val="left"/>
            </w:pPr>
            <w:r>
              <w:rPr>
                <w:rFonts w:ascii="仿宋_GB2312" w:hAnsi="仿宋_GB2312" w:cs="仿宋_GB2312" w:eastAsia="仿宋_GB2312"/>
                <w:sz w:val="21"/>
              </w:rPr>
              <w:t>（一）总说明（填表须知）</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工程量清单及其计价格式中所有要求签字、盖章的地方，必须由规定的单位和人员签字、盖章。</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工程量清单及其计价格式中的任何内容不得随意删除或涂改。</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工程量清单计价格式中列明的所有需要填报的单价和合价，投标人均应填报、未填报的单价和合价，视为此项费用已包含在工程量清单的其他单价和合价中。</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金额（价格）均应以人民币表示。</w:t>
            </w:r>
          </w:p>
          <w:p>
            <w:pPr>
              <w:pStyle w:val="null5"/>
              <w:jc w:val="left"/>
            </w:pPr>
            <w:r>
              <w:rPr>
                <w:rFonts w:ascii="仿宋_GB2312" w:hAnsi="仿宋_GB2312" w:cs="仿宋_GB2312" w:eastAsia="仿宋_GB2312"/>
                <w:sz w:val="21"/>
              </w:rPr>
              <w:t>（二）工程量清单计价格式</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工程量清单计价应采用统一格式。</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工程量清单计价格式按招标文件执行（招标文件未给定格式的，投标人自行设计。所给定的表格不够时，均可按同样格式扩展）。工程量清单计价格式应由下列内容组成：</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）封面、投标总价</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）总说明</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）工程项目投标报价汇总表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）单项工程投标报价汇总表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）单位工程投标报价汇总表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）分部分项工程量清单计价表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）工程量清单综合单价分析表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）措施项目清单与计价表（一）</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）措施项目清单与计价表（二）</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）其他项目清单与计价汇总表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）暂列金额明细表</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）材料暂估单价表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）主要材料价格表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）未计价主材表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）专业工程暂估价表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）总承包服务费计价表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）规费、税金项目清单与计价表</w:t>
            </w:r>
          </w:p>
          <w:p>
            <w:pPr>
              <w:pStyle w:val="null5"/>
              <w:jc w:val="left"/>
            </w:pPr>
            <w:r>
              <w:rPr>
                <w:rFonts w:ascii="仿宋_GB2312" w:hAnsi="仿宋_GB2312" w:cs="仿宋_GB2312" w:eastAsia="仿宋_GB2312"/>
                <w:sz w:val="21"/>
              </w:rPr>
              <w:t>（三）工程量清单计价格式填写应符合下列规定</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工程量清单计价格式应由投标人填写</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封面应按规定内容填写、签字、盖章</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投标总价应按工程项目投标报价汇总表的合计金额填写。</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工程项目投标报价汇总表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）表中单项工程名称应按单项工程投标报价汇总表的工程名称填写。</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）表中金额应按单项工程投标报价汇总表的合计金额填写</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单项工程投标报价汇总表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）表中单位工程名称应按单位工程投标报价汇总表的工程名称填写。</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）表中金额应按单位工程投标报价汇总表的合计金额填写。</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单位工程投标报价汇总表中的金额应分别按分部分项工程量清单计价表、措施项目清单计价表和其他项目清单计价表的合计金额和按有关规定计算的规费、税金填写。</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分部分项工程量清单计价表中的序号、项目编码、项目名称、特征描述、计量单位、工程数量必须按分部分项工程量清单中的相应内容填写。</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措施项目清单计价表</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）表中的序号、项目名称必须按措施项目清单中的相应内容填写。</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）投标人可根据施工组织设计采取的措施增加项目。</w:t>
            </w:r>
          </w:p>
          <w:p>
            <w:pPr>
              <w:pStyle w:val="null5"/>
              <w:jc w:val="left"/>
            </w:pPr>
            <w:r>
              <w:rPr>
                <w:rFonts w:ascii="仿宋_GB2312" w:hAnsi="仿宋_GB2312" w:cs="仿宋_GB2312" w:eastAsia="仿宋_GB2312"/>
                <w:sz w:val="21"/>
                <w:b/>
                <w:color w:val="000000"/>
              </w:rPr>
              <w:t>注.不平衡报价说明：本工程计价方式为工程量清单计价法，采用固定综合单价合同，有限调整且各投标单位的清单报价单价予以规范，不平衡报价的幅度不应该超过15%，在竣工结算时如发现有清单项目综合单价偏离现行定额组价标准的15%的按定额标准重新组价结算。</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资质等级及范围</w:t>
            </w:r>
          </w:p>
        </w:tc>
        <w:tc>
          <w:tcPr>
            <w:tcW w:type="dxa" w:w="4984"/>
          </w:tcPr>
          <w:p>
            <w:pPr>
              <w:pStyle w:val="null5"/>
              <w:jc w:val="left"/>
            </w:pPr>
            <w:r>
              <w:rPr>
                <w:rFonts w:ascii="仿宋_GB2312" w:hAnsi="仿宋_GB2312" w:cs="仿宋_GB2312" w:eastAsia="仿宋_GB2312"/>
              </w:rPr>
              <w:t>供应商须具有建设行政主管部门颁发的水利水电工程施工总承包三级及以上资质，并具有有效的安全生产许可证。</w:t>
            </w:r>
          </w:p>
        </w:tc>
      </w:tr>
      <w:tr>
        <w:tc>
          <w:tcPr>
            <w:tcW w:type="dxa" w:w="3322"/>
          </w:tcPr>
          <w:p>
            <w:pPr>
              <w:pStyle w:val="null5"/>
              <w:jc w:val="left"/>
            </w:pPr>
            <w:r>
              <w:rPr>
                <w:rFonts w:ascii="仿宋_GB2312" w:hAnsi="仿宋_GB2312" w:cs="仿宋_GB2312" w:eastAsia="仿宋_GB2312"/>
              </w:rPr>
              <w:t>项目负责人资质类别和等级</w:t>
            </w:r>
          </w:p>
        </w:tc>
        <w:tc>
          <w:tcPr>
            <w:tcW w:type="dxa" w:w="4984"/>
          </w:tcPr>
          <w:p>
            <w:pPr>
              <w:pStyle w:val="null5"/>
              <w:jc w:val="left"/>
            </w:pPr>
            <w:r>
              <w:rPr>
                <w:rFonts w:ascii="仿宋_GB2312" w:hAnsi="仿宋_GB2312" w:cs="仿宋_GB2312" w:eastAsia="仿宋_GB2312"/>
              </w:rPr>
              <w:t>水利水电工程专业注册二级及以上建造师职业资格，具备有效的安全生产考核合格证书，且不得担任其他在施建设工程项目的项目经理。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施工组织设计整体编制水平</w:t>
            </w:r>
          </w:p>
        </w:tc>
        <w:tc>
          <w:tcPr>
            <w:tcW w:type="dxa" w:w="3115"/>
          </w:tcPr>
          <w:p>
            <w:pPr>
              <w:pStyle w:val="null5"/>
              <w:jc w:val="left"/>
            </w:pPr>
            <w:r>
              <w:rPr>
                <w:rFonts w:ascii="仿宋_GB2312" w:hAnsi="仿宋_GB2312" w:cs="仿宋_GB2312" w:eastAsia="仿宋_GB2312"/>
              </w:rPr>
              <w:t>根据供应商提供的实施方案与技术措施等整体编制情况(包括:①对本工程的了解及分析；②人员职责分工；③管理措施及技术措施保障。)进行评审:方案完整、无缺失项、阐述清晰、逻辑合理、完全符合采购需求的得9分，每缺1项扣3分，每有1处不足或存在缺陷扣2分，本项最多扣9分。(说明：不足或存在缺陷项目需求是指存在不完全适用项目实际情况、闸述不清晰、逻辑漏洞的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方案与技术措施进行评审，内容包含施工方案先进、施工方法可行，技术措施针对工程质量、工期和施工安全生产保障。(1)针对性强，便于组织施工，方案内容全面、详细,描述准确、规范，完全符合要求得5分；(2)便于组织施工，方案内容较详细，描述较规范，符合要求，得3分；(3)针对性一般，方案内容基本完整，基本符合要求，不便于组织施工，方案优化后，方可执行的，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供应商提供的质量保证措施方案(包括：①质量控制目标；②质量保证体系；③质量控制制度；④质量管理措施。)进行评审：方案完整、无缺失项、阐述清晰、逻辑合理、完全符合采购需求得8分，每缺1项扣2分,每有1处不足或存在缺陷需求扣1分，本项最多扣8分。(说明：不足或存在缺陷项目需求是指存在不完全适用项目实际情况、阐述不清晰、逻辑漏洞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安全保证措施及安全应急预案</w:t>
            </w:r>
          </w:p>
        </w:tc>
        <w:tc>
          <w:tcPr>
            <w:tcW w:type="dxa" w:w="3115"/>
          </w:tcPr>
          <w:p>
            <w:pPr>
              <w:pStyle w:val="null5"/>
              <w:jc w:val="left"/>
            </w:pPr>
            <w:r>
              <w:rPr>
                <w:rFonts w:ascii="仿宋_GB2312" w:hAnsi="仿宋_GB2312" w:cs="仿宋_GB2312" w:eastAsia="仿宋_GB2312"/>
              </w:rPr>
              <w:t>根据供应商提供的安全保证措施及安全应急预案(包括:①安全管理制度；②安全管理体系；③安全施工措施；④应急预案。)进行评审：方案完整、无缺失项、阐述清晰、逻辑合理、完全符合采购需求得8分,每缺1项扣2分,每有1处不足或存在缺陷需求扣1分,本项最多扣8分。(说明：不足或存在缺陷项目需求是指存在不完全适用项目实际情况、阐述不清晰、逻辑漏洞情形 。)</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根据供应商环境保护管理体系、针对本项目施工过程(包括:①防尘污染；②噪音污染；③废弃物清运；④绿色节能环保；符合国家及地方环境保护标准、技术及管理措施到位情况）进行评审：方案完整、无缺失项、阐述清晰、逻辑合理、完全符合采购需求得8分，每缺1项扣2分,每有1处不足或存在缺陷需求扣1分，本项最多扣8分。(说明：不足或存在缺陷项目需求是指存在不完全适用项目实际情况、阐述不清晰、逻辑漏洞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施工进度与资源配备计划</w:t>
            </w:r>
          </w:p>
        </w:tc>
        <w:tc>
          <w:tcPr>
            <w:tcW w:type="dxa" w:w="3115"/>
          </w:tcPr>
          <w:p>
            <w:pPr>
              <w:pStyle w:val="null5"/>
              <w:jc w:val="left"/>
            </w:pPr>
            <w:r>
              <w:rPr>
                <w:rFonts w:ascii="仿宋_GB2312" w:hAnsi="仿宋_GB2312" w:cs="仿宋_GB2312" w:eastAsia="仿宋_GB2312"/>
              </w:rPr>
              <w:t>根据供应商提供的施工进度计划与资源配置保证措施方案(包括：①施工进度计划、计划开竣工日期和施工进度网络图；②工期保证措施；③拟投入本项目主要的机械设备；④资源配备计划和劳动力安排计划。)进行评审：方案完整、无缺失项、阐述清晰、逻辑合理、完全符合采购需求得8分，每缺1项扣2分,每有1处不足或存在缺陷需求扣1分，本项最多扣8分。(说明:不足或存在缺陷项目需求是指存在不完全适用项目实际情况、闸述不清晰、逻辑漏洞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新产品、新技术、新标准规范</w:t>
            </w:r>
          </w:p>
        </w:tc>
        <w:tc>
          <w:tcPr>
            <w:tcW w:type="dxa" w:w="3115"/>
          </w:tcPr>
          <w:p>
            <w:pPr>
              <w:pStyle w:val="null5"/>
              <w:jc w:val="left"/>
            </w:pPr>
            <w:r>
              <w:rPr>
                <w:rFonts w:ascii="仿宋_GB2312" w:hAnsi="仿宋_GB2312" w:cs="仿宋_GB2312" w:eastAsia="仿宋_GB2312"/>
              </w:rPr>
              <w:t>根据供应商提出应用新产品、新技术、新标准规范的科学合理性进行综合评定：内容完整、明确、合理、可行且满足磋商文件要求的得2分；内容无明显缺漏、比较明确、合理、可行的得1分；内容明显缺漏、不合理、不可行、无相关描述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农民工工资保障措施</w:t>
            </w:r>
          </w:p>
        </w:tc>
        <w:tc>
          <w:tcPr>
            <w:tcW w:type="dxa" w:w="3115"/>
          </w:tcPr>
          <w:p>
            <w:pPr>
              <w:pStyle w:val="null5"/>
              <w:jc w:val="left"/>
            </w:pPr>
            <w:r>
              <w:rPr>
                <w:rFonts w:ascii="仿宋_GB2312" w:hAnsi="仿宋_GB2312" w:cs="仿宋_GB2312" w:eastAsia="仿宋_GB2312"/>
              </w:rPr>
              <w:t>按照内蒙古自治区农民工工资保障制度制定合理可行的保障措施。措施合理的得2分，措施一般的得1分。未提供不得分；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投标（响应）供应商2022年3月至投标截止时间，承担过类似的水利工程。每有一项得3分，最高得12分。（以投标文件中所附中标通知书和合同协议书原件扫描件为评审依据，不提供或不齐全或不清晰均不计分，日期以合同签订日期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现场配置管理人员</w:t>
            </w:r>
          </w:p>
        </w:tc>
        <w:tc>
          <w:tcPr>
            <w:tcW w:type="dxa" w:w="3115"/>
          </w:tcPr>
          <w:p>
            <w:pPr>
              <w:pStyle w:val="null5"/>
              <w:jc w:val="left"/>
            </w:pPr>
            <w:r>
              <w:rPr>
                <w:rFonts w:ascii="仿宋_GB2312" w:hAnsi="仿宋_GB2312" w:cs="仿宋_GB2312" w:eastAsia="仿宋_GB2312"/>
              </w:rPr>
              <w:t>根据现场配置管理人员（包括技术负责人（水利工程专业）、施工员、质量员、安全员、预算员（造价员）、材料员、资料员）基本情况、机构设置、班子配备的齐备、完整、合理程度。本评分项7分，每缺少一人扣1分，扣完为止。（需提供有效期内的岗位证书、职称证书或资格证书等证明材料原件扫描件为评审依据，不提供、不清晰或不齐全均不计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绿色建材认证证书</w:t>
            </w:r>
          </w:p>
        </w:tc>
        <w:tc>
          <w:tcPr>
            <w:tcW w:type="dxa" w:w="3115"/>
          </w:tcPr>
          <w:p>
            <w:pPr>
              <w:pStyle w:val="null5"/>
              <w:jc w:val="left"/>
            </w:pPr>
            <w:r>
              <w:rPr>
                <w:rFonts w:ascii="仿宋_GB2312" w:hAnsi="仿宋_GB2312" w:cs="仿宋_GB2312" w:eastAsia="仿宋_GB2312"/>
              </w:rPr>
              <w:t>供应商需提供本项目所需建筑材料中任意一项产品的绿色建材认证证书，得1分 （需提供证书原件扫描件为评审依据，不提供、不清晰或不齐全均不计分）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