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市场监管辅助岗位服务外包项目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土默特右旗市场监督管理局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内蒙古晔利项目管理有限公司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BTZCTYS-C-F-250002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内蒙古晔利项目管理有限公司</w:t>
      </w:r>
      <w:r>
        <w:rPr>
          <w:rFonts w:ascii="仿宋_GB2312" w:hAnsi="仿宋_GB2312" w:cs="仿宋_GB2312" w:eastAsia="仿宋_GB2312"/>
        </w:rPr>
        <w:t xml:space="preserve"> 受 </w:t>
      </w:r>
      <w:r>
        <w:rPr>
          <w:rFonts w:ascii="仿宋_GB2312" w:hAnsi="仿宋_GB2312" w:cs="仿宋_GB2312" w:eastAsia="仿宋_GB2312"/>
        </w:rPr>
        <w:t>土默特右旗市场监督管理局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市场监管辅助岗位服务外包项目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市场监管辅助岗位服务外包项目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BTZCTYS-C-F-250002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包政采计划[2025]土右00008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1,991,768.00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市场监管辅助岗位服务外包项目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1,991,768.00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内蒙古晔利项目管理有限公司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包头市稀土开发区幸福南路41号天龙写字楼五层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张帅、米红玲</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0472-6918316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土默特右旗市场监督管理局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土默特右旗萨拉齐镇诺宝行政大楼3楼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兰少博</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0472-8805825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代理服务费收费标准：采购代理服务费参考内蒙古建设工程采购代理收费指导意见（内工建协【2022】34号文）规定的收费标准收取。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土默特右旗市场监督管理局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内蒙古晔利项目管理有限公司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市场监管辅助岗位服务外包项目，具体详见技术(参数)要求。</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p>
            <w:pPr>
              <w:pStyle w:val="null5"/>
              <w:jc w:val="both"/>
            </w:pPr>
            <w:r>
              <w:rPr>
                <w:rFonts w:ascii="仿宋_GB2312" w:hAnsi="仿宋_GB2312" w:cs="仿宋_GB2312" w:eastAsia="仿宋_GB2312"/>
                <w:sz w:val="24"/>
              </w:rPr>
              <w:t>标的提供的时间：</w:t>
            </w:r>
            <w:r>
              <w:rPr>
                <w:rFonts w:ascii="仿宋_GB2312" w:hAnsi="仿宋_GB2312" w:cs="仿宋_GB2312" w:eastAsia="仿宋_GB2312"/>
                <w:sz w:val="24"/>
              </w:rPr>
              <w:t>服务期三年</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2</w:t>
            </w:r>
          </w:p>
        </w:tc>
        <w:tc>
          <w:tcPr>
            <w:tcW w:type="dxa" w:w="2769"/>
          </w:tcPr>
          <w:p>
            <w:pPr>
              <w:pStyle w:val="null5"/>
              <w:jc w:val="both"/>
            </w:pPr>
            <w:r>
              <w:rPr>
                <w:rFonts w:ascii="仿宋_GB2312" w:hAnsi="仿宋_GB2312" w:cs="仿宋_GB2312" w:eastAsia="仿宋_GB2312"/>
                <w:sz w:val="24"/>
              </w:rPr>
              <w:t>标的提供的地点：</w:t>
            </w:r>
            <w:r>
              <w:rPr>
                <w:rFonts w:ascii="仿宋_GB2312" w:hAnsi="仿宋_GB2312" w:cs="仿宋_GB2312" w:eastAsia="仿宋_GB2312"/>
                <w:sz w:val="24"/>
              </w:rPr>
              <w:t>采购人指定地点</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3</w:t>
            </w:r>
          </w:p>
        </w:tc>
        <w:tc>
          <w:tcPr>
            <w:tcW w:type="dxa" w:w="2769"/>
          </w:tcPr>
          <w:p>
            <w:pPr>
              <w:pStyle w:val="null5"/>
              <w:jc w:val="both"/>
            </w:pPr>
            <w:r>
              <w:rPr>
                <w:rFonts w:ascii="仿宋_GB2312" w:hAnsi="仿宋_GB2312" w:cs="仿宋_GB2312" w:eastAsia="仿宋_GB2312"/>
                <w:sz w:val="24"/>
              </w:rPr>
              <w:t>付款方式：</w:t>
            </w:r>
          </w:p>
          <w:p>
            <w:pPr>
              <w:pStyle w:val="null5"/>
              <w:ind w:right="-60"/>
              <w:jc w:val="left"/>
            </w:pPr>
            <w:r>
              <w:rPr>
                <w:rFonts w:ascii="仿宋_GB2312" w:hAnsi="仿宋_GB2312" w:cs="仿宋_GB2312" w:eastAsia="仿宋_GB2312"/>
                <w:sz w:val="24"/>
              </w:rPr>
              <w:t>1期：支付比例2.75%，根据每月实际提供人数情况结算，按月支付；</w:t>
            </w:r>
          </w:p>
          <w:p>
            <w:pPr>
              <w:pStyle w:val="null5"/>
              <w:ind w:right="-60"/>
              <w:jc w:val="left"/>
            </w:pPr>
            <w:r>
              <w:rPr>
                <w:rFonts w:ascii="仿宋_GB2312" w:hAnsi="仿宋_GB2312" w:cs="仿宋_GB2312" w:eastAsia="仿宋_GB2312"/>
                <w:sz w:val="24"/>
              </w:rPr>
              <w:t>2期：支付比例2.75%，根据每月实际提供人数情况结算，按月支付；</w:t>
            </w:r>
          </w:p>
          <w:p>
            <w:pPr>
              <w:pStyle w:val="null5"/>
              <w:ind w:right="-60"/>
              <w:jc w:val="left"/>
            </w:pPr>
            <w:r>
              <w:rPr>
                <w:rFonts w:ascii="仿宋_GB2312" w:hAnsi="仿宋_GB2312" w:cs="仿宋_GB2312" w:eastAsia="仿宋_GB2312"/>
                <w:sz w:val="24"/>
              </w:rPr>
              <w:t>3期：支付比例2.75%，根据每月实际提供人数情况结算，按月支付；</w:t>
            </w:r>
          </w:p>
          <w:p>
            <w:pPr>
              <w:pStyle w:val="null5"/>
              <w:ind w:right="-60"/>
              <w:jc w:val="left"/>
            </w:pPr>
            <w:r>
              <w:rPr>
                <w:rFonts w:ascii="仿宋_GB2312" w:hAnsi="仿宋_GB2312" w:cs="仿宋_GB2312" w:eastAsia="仿宋_GB2312"/>
                <w:sz w:val="24"/>
              </w:rPr>
              <w:t>4期：支付比例2.75%，根据每月实际提供人数情况结算，按月支付；</w:t>
            </w:r>
          </w:p>
          <w:p>
            <w:pPr>
              <w:pStyle w:val="null5"/>
              <w:ind w:right="-60"/>
              <w:jc w:val="left"/>
            </w:pPr>
            <w:r>
              <w:rPr>
                <w:rFonts w:ascii="仿宋_GB2312" w:hAnsi="仿宋_GB2312" w:cs="仿宋_GB2312" w:eastAsia="仿宋_GB2312"/>
                <w:sz w:val="24"/>
              </w:rPr>
              <w:t>5期：支付比例2.75%，根据每月实际提供人数情况结算，按月支付；</w:t>
            </w:r>
          </w:p>
          <w:p>
            <w:pPr>
              <w:pStyle w:val="null5"/>
              <w:ind w:right="-60"/>
              <w:jc w:val="left"/>
            </w:pPr>
            <w:r>
              <w:rPr>
                <w:rFonts w:ascii="仿宋_GB2312" w:hAnsi="仿宋_GB2312" w:cs="仿宋_GB2312" w:eastAsia="仿宋_GB2312"/>
                <w:sz w:val="24"/>
              </w:rPr>
              <w:t>6期：支付比例2.75%，根据每月实际提供人数情况结算，按月支付；</w:t>
            </w:r>
          </w:p>
          <w:p>
            <w:pPr>
              <w:pStyle w:val="null5"/>
              <w:ind w:right="-60"/>
              <w:jc w:val="left"/>
            </w:pPr>
            <w:r>
              <w:rPr>
                <w:rFonts w:ascii="仿宋_GB2312" w:hAnsi="仿宋_GB2312" w:cs="仿宋_GB2312" w:eastAsia="仿宋_GB2312"/>
                <w:sz w:val="24"/>
              </w:rPr>
              <w:t>7期：支付比例2.75%，根据每月实际提供人数情况结算，按月支付；</w:t>
            </w:r>
          </w:p>
          <w:p>
            <w:pPr>
              <w:pStyle w:val="null5"/>
              <w:ind w:right="-60"/>
              <w:jc w:val="left"/>
            </w:pPr>
            <w:r>
              <w:rPr>
                <w:rFonts w:ascii="仿宋_GB2312" w:hAnsi="仿宋_GB2312" w:cs="仿宋_GB2312" w:eastAsia="仿宋_GB2312"/>
                <w:sz w:val="24"/>
              </w:rPr>
              <w:t>8期：支付比例2.75%，根据每月实际提供人数情况结算，按月支付；</w:t>
            </w:r>
          </w:p>
          <w:p>
            <w:pPr>
              <w:pStyle w:val="null5"/>
              <w:ind w:right="-60"/>
              <w:jc w:val="left"/>
            </w:pPr>
            <w:r>
              <w:rPr>
                <w:rFonts w:ascii="仿宋_GB2312" w:hAnsi="仿宋_GB2312" w:cs="仿宋_GB2312" w:eastAsia="仿宋_GB2312"/>
                <w:sz w:val="24"/>
              </w:rPr>
              <w:t>9期：支付比例2.75%，根据每月实际提供人数情况结算，按月支付；</w:t>
            </w:r>
          </w:p>
          <w:p>
            <w:pPr>
              <w:pStyle w:val="null5"/>
              <w:ind w:right="-60"/>
              <w:jc w:val="left"/>
            </w:pPr>
            <w:r>
              <w:rPr>
                <w:rFonts w:ascii="仿宋_GB2312" w:hAnsi="仿宋_GB2312" w:cs="仿宋_GB2312" w:eastAsia="仿宋_GB2312"/>
                <w:sz w:val="24"/>
              </w:rPr>
              <w:t>10期：支付比例2.75%，根据每月实际提供人数情况结算，按月支付；</w:t>
            </w:r>
          </w:p>
          <w:p>
            <w:pPr>
              <w:pStyle w:val="null5"/>
              <w:ind w:right="-60"/>
              <w:jc w:val="left"/>
            </w:pPr>
            <w:r>
              <w:rPr>
                <w:rFonts w:ascii="仿宋_GB2312" w:hAnsi="仿宋_GB2312" w:cs="仿宋_GB2312" w:eastAsia="仿宋_GB2312"/>
                <w:sz w:val="24"/>
              </w:rPr>
              <w:t>11期：支付比例2.75%，根据每月实际提供人数情况结算，按月支付；</w:t>
            </w:r>
          </w:p>
          <w:p>
            <w:pPr>
              <w:pStyle w:val="null5"/>
              <w:ind w:right="-60"/>
              <w:jc w:val="left"/>
            </w:pPr>
            <w:r>
              <w:rPr>
                <w:rFonts w:ascii="仿宋_GB2312" w:hAnsi="仿宋_GB2312" w:cs="仿宋_GB2312" w:eastAsia="仿宋_GB2312"/>
                <w:sz w:val="24"/>
              </w:rPr>
              <w:t>12期：支付比例3.08%，根据每月实际提供人数情况结算，按月支付；</w:t>
            </w:r>
          </w:p>
          <w:p>
            <w:pPr>
              <w:pStyle w:val="null5"/>
              <w:ind w:right="-60"/>
              <w:jc w:val="left"/>
            </w:pPr>
            <w:r>
              <w:rPr>
                <w:rFonts w:ascii="仿宋_GB2312" w:hAnsi="仿宋_GB2312" w:cs="仿宋_GB2312" w:eastAsia="仿宋_GB2312"/>
                <w:sz w:val="24"/>
              </w:rPr>
              <w:t>13期：支付比例2.75%，根据每月实际提供人数情况结算，按月支付；</w:t>
            </w:r>
          </w:p>
          <w:p>
            <w:pPr>
              <w:pStyle w:val="null5"/>
              <w:ind w:right="-60"/>
              <w:jc w:val="left"/>
            </w:pPr>
            <w:r>
              <w:rPr>
                <w:rFonts w:ascii="仿宋_GB2312" w:hAnsi="仿宋_GB2312" w:cs="仿宋_GB2312" w:eastAsia="仿宋_GB2312"/>
                <w:sz w:val="24"/>
              </w:rPr>
              <w:t>14期：支付比例2.75%，根据每月实际提供人数情况结算，按月支付；</w:t>
            </w:r>
          </w:p>
          <w:p>
            <w:pPr>
              <w:pStyle w:val="null5"/>
              <w:ind w:right="-60"/>
              <w:jc w:val="left"/>
            </w:pPr>
            <w:r>
              <w:rPr>
                <w:rFonts w:ascii="仿宋_GB2312" w:hAnsi="仿宋_GB2312" w:cs="仿宋_GB2312" w:eastAsia="仿宋_GB2312"/>
                <w:sz w:val="24"/>
              </w:rPr>
              <w:t>15期：支付比例2.75%，根据每月实际提供人数情况结算，按月支付；</w:t>
            </w:r>
          </w:p>
          <w:p>
            <w:pPr>
              <w:pStyle w:val="null5"/>
              <w:ind w:right="-60"/>
              <w:jc w:val="left"/>
            </w:pPr>
            <w:r>
              <w:rPr>
                <w:rFonts w:ascii="仿宋_GB2312" w:hAnsi="仿宋_GB2312" w:cs="仿宋_GB2312" w:eastAsia="仿宋_GB2312"/>
                <w:sz w:val="24"/>
              </w:rPr>
              <w:t>16期：支付比例2.75%，根据每月实际提供人数情况结算，按月支付；</w:t>
            </w:r>
          </w:p>
          <w:p>
            <w:pPr>
              <w:pStyle w:val="null5"/>
              <w:ind w:right="-60"/>
              <w:jc w:val="left"/>
            </w:pPr>
            <w:r>
              <w:rPr>
                <w:rFonts w:ascii="仿宋_GB2312" w:hAnsi="仿宋_GB2312" w:cs="仿宋_GB2312" w:eastAsia="仿宋_GB2312"/>
                <w:sz w:val="24"/>
              </w:rPr>
              <w:t>17期：支付比例2.75%，根据每月实际提供人数情况结算，按月支付；</w:t>
            </w:r>
          </w:p>
          <w:p>
            <w:pPr>
              <w:pStyle w:val="null5"/>
              <w:ind w:right="-60"/>
              <w:jc w:val="left"/>
            </w:pPr>
            <w:r>
              <w:rPr>
                <w:rFonts w:ascii="仿宋_GB2312" w:hAnsi="仿宋_GB2312" w:cs="仿宋_GB2312" w:eastAsia="仿宋_GB2312"/>
                <w:sz w:val="24"/>
              </w:rPr>
              <w:t>18期：支付比例2.75%，根据每月实际提供人数情况结算，按月支付；</w:t>
            </w:r>
          </w:p>
          <w:p>
            <w:pPr>
              <w:pStyle w:val="null5"/>
              <w:ind w:right="-60"/>
              <w:jc w:val="left"/>
            </w:pPr>
            <w:r>
              <w:rPr>
                <w:rFonts w:ascii="仿宋_GB2312" w:hAnsi="仿宋_GB2312" w:cs="仿宋_GB2312" w:eastAsia="仿宋_GB2312"/>
                <w:sz w:val="24"/>
              </w:rPr>
              <w:t>19期：支付比例2.75%，根据每月实际提供人数情况结算，按月支付；</w:t>
            </w:r>
          </w:p>
          <w:p>
            <w:pPr>
              <w:pStyle w:val="null5"/>
              <w:ind w:right="-60"/>
              <w:jc w:val="left"/>
            </w:pPr>
            <w:r>
              <w:rPr>
                <w:rFonts w:ascii="仿宋_GB2312" w:hAnsi="仿宋_GB2312" w:cs="仿宋_GB2312" w:eastAsia="仿宋_GB2312"/>
                <w:sz w:val="24"/>
              </w:rPr>
              <w:t>20期：支付比例2.75%，根据每月实际提供人数情况结算，按月支付；</w:t>
            </w:r>
          </w:p>
          <w:p>
            <w:pPr>
              <w:pStyle w:val="null5"/>
              <w:ind w:right="-60"/>
              <w:jc w:val="left"/>
            </w:pPr>
            <w:r>
              <w:rPr>
                <w:rFonts w:ascii="仿宋_GB2312" w:hAnsi="仿宋_GB2312" w:cs="仿宋_GB2312" w:eastAsia="仿宋_GB2312"/>
                <w:sz w:val="24"/>
              </w:rPr>
              <w:t>21期：支付比例2.75%，根据每月实际提供人数情况结算，按月支付；</w:t>
            </w:r>
          </w:p>
          <w:p>
            <w:pPr>
              <w:pStyle w:val="null5"/>
              <w:ind w:right="-60"/>
              <w:jc w:val="left"/>
            </w:pPr>
            <w:r>
              <w:rPr>
                <w:rFonts w:ascii="仿宋_GB2312" w:hAnsi="仿宋_GB2312" w:cs="仿宋_GB2312" w:eastAsia="仿宋_GB2312"/>
                <w:sz w:val="24"/>
              </w:rPr>
              <w:t>22期：支付比例2.75%，根据每月实际提供人数情况结算，按月支付；</w:t>
            </w:r>
          </w:p>
          <w:p>
            <w:pPr>
              <w:pStyle w:val="null5"/>
              <w:ind w:right="-60"/>
              <w:jc w:val="left"/>
            </w:pPr>
            <w:r>
              <w:rPr>
                <w:rFonts w:ascii="仿宋_GB2312" w:hAnsi="仿宋_GB2312" w:cs="仿宋_GB2312" w:eastAsia="仿宋_GB2312"/>
                <w:sz w:val="24"/>
              </w:rPr>
              <w:t>23期：支付比例2.75%，根据每月实际提供人数情况结算，按月支付；</w:t>
            </w:r>
          </w:p>
          <w:p>
            <w:pPr>
              <w:pStyle w:val="null5"/>
              <w:ind w:right="-60"/>
              <w:jc w:val="left"/>
            </w:pPr>
            <w:r>
              <w:rPr>
                <w:rFonts w:ascii="仿宋_GB2312" w:hAnsi="仿宋_GB2312" w:cs="仿宋_GB2312" w:eastAsia="仿宋_GB2312"/>
                <w:sz w:val="24"/>
              </w:rPr>
              <w:t>24期：支付比例3.08%，根据每月实际提供人数情况结算，按月支付；</w:t>
            </w:r>
          </w:p>
          <w:p>
            <w:pPr>
              <w:pStyle w:val="null5"/>
              <w:ind w:right="-60"/>
              <w:jc w:val="left"/>
            </w:pPr>
            <w:r>
              <w:rPr>
                <w:rFonts w:ascii="仿宋_GB2312" w:hAnsi="仿宋_GB2312" w:cs="仿宋_GB2312" w:eastAsia="仿宋_GB2312"/>
                <w:sz w:val="24"/>
              </w:rPr>
              <w:t>25期：支付比例2.75%，根据每月实际提供人数情况结算，按月支付；</w:t>
            </w:r>
          </w:p>
          <w:p>
            <w:pPr>
              <w:pStyle w:val="null5"/>
              <w:ind w:right="-60"/>
              <w:jc w:val="left"/>
            </w:pPr>
            <w:r>
              <w:rPr>
                <w:rFonts w:ascii="仿宋_GB2312" w:hAnsi="仿宋_GB2312" w:cs="仿宋_GB2312" w:eastAsia="仿宋_GB2312"/>
                <w:sz w:val="24"/>
              </w:rPr>
              <w:t>26期：支付比例2.75%，根据每月实际提供人数情况结算，按月支付；</w:t>
            </w:r>
          </w:p>
          <w:p>
            <w:pPr>
              <w:pStyle w:val="null5"/>
              <w:ind w:right="-60"/>
              <w:jc w:val="left"/>
            </w:pPr>
            <w:r>
              <w:rPr>
                <w:rFonts w:ascii="仿宋_GB2312" w:hAnsi="仿宋_GB2312" w:cs="仿宋_GB2312" w:eastAsia="仿宋_GB2312"/>
                <w:sz w:val="24"/>
              </w:rPr>
              <w:t>27期：支付比例2.75%，根据每月实际提供人数情况结算，按月支付；</w:t>
            </w:r>
          </w:p>
          <w:p>
            <w:pPr>
              <w:pStyle w:val="null5"/>
              <w:ind w:right="-60"/>
              <w:jc w:val="left"/>
            </w:pPr>
            <w:r>
              <w:rPr>
                <w:rFonts w:ascii="仿宋_GB2312" w:hAnsi="仿宋_GB2312" w:cs="仿宋_GB2312" w:eastAsia="仿宋_GB2312"/>
                <w:sz w:val="24"/>
              </w:rPr>
              <w:t>28期：支付比例2.75%，根据每月实际提供人数情况结算，按月支付；</w:t>
            </w:r>
          </w:p>
          <w:p>
            <w:pPr>
              <w:pStyle w:val="null5"/>
              <w:ind w:right="-60"/>
              <w:jc w:val="left"/>
            </w:pPr>
            <w:r>
              <w:rPr>
                <w:rFonts w:ascii="仿宋_GB2312" w:hAnsi="仿宋_GB2312" w:cs="仿宋_GB2312" w:eastAsia="仿宋_GB2312"/>
                <w:sz w:val="24"/>
              </w:rPr>
              <w:t>29期：支付比例2.75%，根据每月实际提供人数情况结算，按月支付；</w:t>
            </w:r>
          </w:p>
          <w:p>
            <w:pPr>
              <w:pStyle w:val="null5"/>
              <w:ind w:right="-60"/>
              <w:jc w:val="left"/>
            </w:pPr>
            <w:r>
              <w:rPr>
                <w:rFonts w:ascii="仿宋_GB2312" w:hAnsi="仿宋_GB2312" w:cs="仿宋_GB2312" w:eastAsia="仿宋_GB2312"/>
                <w:sz w:val="24"/>
              </w:rPr>
              <w:t>30期：支付比例2.75%，根据每月实际提供人数情况结算，按月支付；</w:t>
            </w:r>
          </w:p>
          <w:p>
            <w:pPr>
              <w:pStyle w:val="null5"/>
              <w:ind w:right="-60"/>
              <w:jc w:val="left"/>
            </w:pPr>
            <w:r>
              <w:rPr>
                <w:rFonts w:ascii="仿宋_GB2312" w:hAnsi="仿宋_GB2312" w:cs="仿宋_GB2312" w:eastAsia="仿宋_GB2312"/>
                <w:sz w:val="24"/>
              </w:rPr>
              <w:t>31期：支付比例2.75%，根据每月实际提供人数情况结算，按月支付；</w:t>
            </w:r>
          </w:p>
          <w:p>
            <w:pPr>
              <w:pStyle w:val="null5"/>
              <w:ind w:right="-60"/>
              <w:jc w:val="left"/>
            </w:pPr>
            <w:r>
              <w:rPr>
                <w:rFonts w:ascii="仿宋_GB2312" w:hAnsi="仿宋_GB2312" w:cs="仿宋_GB2312" w:eastAsia="仿宋_GB2312"/>
                <w:sz w:val="24"/>
              </w:rPr>
              <w:t>32期：支付比例2.75%，根据每月实际提供人数情况结算，按月支付；</w:t>
            </w:r>
          </w:p>
          <w:p>
            <w:pPr>
              <w:pStyle w:val="null5"/>
              <w:ind w:right="-60"/>
              <w:jc w:val="left"/>
            </w:pPr>
            <w:r>
              <w:rPr>
                <w:rFonts w:ascii="仿宋_GB2312" w:hAnsi="仿宋_GB2312" w:cs="仿宋_GB2312" w:eastAsia="仿宋_GB2312"/>
                <w:sz w:val="24"/>
              </w:rPr>
              <w:t>33期：支付比例2.75%，根据每月实际提供人数情况结算，按月支付；</w:t>
            </w:r>
          </w:p>
          <w:p>
            <w:pPr>
              <w:pStyle w:val="null5"/>
              <w:ind w:right="-60"/>
              <w:jc w:val="left"/>
            </w:pPr>
            <w:r>
              <w:rPr>
                <w:rFonts w:ascii="仿宋_GB2312" w:hAnsi="仿宋_GB2312" w:cs="仿宋_GB2312" w:eastAsia="仿宋_GB2312"/>
                <w:sz w:val="24"/>
              </w:rPr>
              <w:t>34期：支付比例2.75%，根据每月实际提供人数情况结算，按月支付；</w:t>
            </w:r>
          </w:p>
          <w:p>
            <w:pPr>
              <w:pStyle w:val="null5"/>
              <w:ind w:right="-60"/>
              <w:jc w:val="left"/>
            </w:pPr>
            <w:r>
              <w:rPr>
                <w:rFonts w:ascii="仿宋_GB2312" w:hAnsi="仿宋_GB2312" w:cs="仿宋_GB2312" w:eastAsia="仿宋_GB2312"/>
                <w:sz w:val="24"/>
              </w:rPr>
              <w:t>35期：支付比例2.75%，根据每月实际提供人数情况结算，按月支付；</w:t>
            </w:r>
          </w:p>
          <w:p>
            <w:pPr>
              <w:pStyle w:val="null5"/>
              <w:jc w:val="both"/>
            </w:pPr>
            <w:r>
              <w:rPr>
                <w:rFonts w:ascii="仿宋_GB2312" w:hAnsi="仿宋_GB2312" w:cs="仿宋_GB2312" w:eastAsia="仿宋_GB2312"/>
                <w:sz w:val="24"/>
              </w:rPr>
              <w:t>36期：支付比例3.09%，根据每月实际提供人数情况结算，按月支付。</w:t>
            </w:r>
          </w:p>
          <w:p>
            <w:pPr>
              <w:pStyle w:val="null5"/>
              <w:jc w:val="both"/>
            </w:pP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4</w:t>
            </w:r>
          </w:p>
        </w:tc>
        <w:tc>
          <w:tcPr>
            <w:tcW w:type="dxa" w:w="2769"/>
          </w:tcPr>
          <w:p>
            <w:pPr>
              <w:pStyle w:val="null5"/>
              <w:jc w:val="both"/>
            </w:pPr>
            <w:r>
              <w:rPr>
                <w:rFonts w:ascii="仿宋_GB2312" w:hAnsi="仿宋_GB2312" w:cs="仿宋_GB2312" w:eastAsia="仿宋_GB2312"/>
                <w:sz w:val="24"/>
              </w:rPr>
              <w:t>验收要求：</w:t>
            </w:r>
            <w:r>
              <w:rPr>
                <w:rFonts w:ascii="仿宋_GB2312" w:hAnsi="仿宋_GB2312" w:cs="仿宋_GB2312" w:eastAsia="仿宋_GB2312"/>
                <w:sz w:val="24"/>
              </w:rPr>
              <w:t>符合国家或行业标准且满足采购人需求</w:t>
            </w:r>
          </w:p>
        </w:tc>
      </w:tr>
      <w:tr>
        <w:tc>
          <w:tcPr>
            <w:tcW w:type="dxa" w:w="2769"/>
          </w:tcPr>
          <w:p/>
        </w:tc>
        <w:tc>
          <w:tcPr>
            <w:tcW w:type="dxa" w:w="2769"/>
          </w:tcPr>
          <w:p>
            <w:pPr>
              <w:pStyle w:val="null5"/>
              <w:jc w:val="left"/>
            </w:pPr>
            <w:r>
              <w:rPr>
                <w:rFonts w:ascii="仿宋_GB2312" w:hAnsi="仿宋_GB2312" w:cs="仿宋_GB2312" w:eastAsia="仿宋_GB2312"/>
              </w:rPr>
              <w:t>5</w:t>
            </w:r>
          </w:p>
        </w:tc>
        <w:tc>
          <w:tcPr>
            <w:tcW w:type="dxa" w:w="2769"/>
          </w:tcPr>
          <w:p>
            <w:pPr>
              <w:pStyle w:val="null5"/>
              <w:jc w:val="both"/>
            </w:pPr>
            <w:r>
              <w:rPr>
                <w:rFonts w:ascii="仿宋_GB2312" w:hAnsi="仿宋_GB2312" w:cs="仿宋_GB2312" w:eastAsia="仿宋_GB2312"/>
                <w:sz w:val="24"/>
              </w:rPr>
              <w:t>履约保证金：</w:t>
            </w:r>
            <w:r>
              <w:rPr>
                <w:rFonts w:ascii="仿宋_GB2312" w:hAnsi="仿宋_GB2312" w:cs="仿宋_GB2312" w:eastAsia="仿宋_GB2312"/>
                <w:sz w:val="24"/>
              </w:rPr>
              <w:t>不收取</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6</w:t>
            </w:r>
          </w:p>
        </w:tc>
        <w:tc>
          <w:tcPr>
            <w:tcW w:type="dxa" w:w="2769"/>
          </w:tcPr>
          <w:p>
            <w:pPr>
              <w:pStyle w:val="null5"/>
              <w:jc w:val="both"/>
            </w:pPr>
            <w:r>
              <w:rPr>
                <w:rFonts w:ascii="仿宋_GB2312" w:hAnsi="仿宋_GB2312" w:cs="仿宋_GB2312" w:eastAsia="仿宋_GB2312"/>
                <w:sz w:val="24"/>
                <w:b/>
              </w:rPr>
              <w:t>招标控制价</w:t>
            </w:r>
            <w:r>
              <w:rPr>
                <w:rFonts w:ascii="仿宋_GB2312" w:hAnsi="仿宋_GB2312" w:cs="仿宋_GB2312" w:eastAsia="仿宋_GB2312"/>
                <w:sz w:val="24"/>
                <w:b/>
              </w:rPr>
              <w:t>:</w:t>
            </w:r>
            <w:r>
              <w:rPr>
                <w:rFonts w:ascii="仿宋_GB2312" w:hAnsi="仿宋_GB2312" w:cs="仿宋_GB2312" w:eastAsia="仿宋_GB2312"/>
                <w:sz w:val="24"/>
              </w:rPr>
              <w:t>本项目招标控制价上限为：人民币</w:t>
            </w:r>
            <w:r>
              <w:rPr>
                <w:rFonts w:ascii="仿宋_GB2312" w:hAnsi="仿宋_GB2312" w:cs="仿宋_GB2312" w:eastAsia="仿宋_GB2312"/>
                <w:sz w:val="24"/>
              </w:rPr>
              <w:t>1991768.00元，不设下限，超出招标控制价的按废标处理。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7</w:t>
            </w:r>
          </w:p>
        </w:tc>
        <w:tc>
          <w:tcPr>
            <w:tcW w:type="dxa" w:w="2769"/>
          </w:tcPr>
          <w:p>
            <w:pPr>
              <w:pStyle w:val="null5"/>
              <w:ind w:right="-60"/>
              <w:jc w:val="left"/>
            </w:pPr>
            <w:r>
              <w:rPr>
                <w:rFonts w:ascii="仿宋_GB2312" w:hAnsi="仿宋_GB2312" w:cs="仿宋_GB2312" w:eastAsia="仿宋_GB2312"/>
                <w:sz w:val="24"/>
                <w:b/>
              </w:rPr>
              <w:t>投标报价说明</w:t>
            </w:r>
            <w:r>
              <w:rPr>
                <w:rFonts w:ascii="仿宋_GB2312" w:hAnsi="仿宋_GB2312" w:cs="仿宋_GB2312" w:eastAsia="仿宋_GB2312"/>
                <w:sz w:val="24"/>
                <w:b/>
              </w:rPr>
              <w:t xml:space="preserve">: </w:t>
            </w:r>
            <w:r>
              <w:rPr>
                <w:rFonts w:ascii="仿宋_GB2312" w:hAnsi="仿宋_GB2312" w:cs="仿宋_GB2312" w:eastAsia="仿宋_GB2312"/>
                <w:sz w:val="24"/>
              </w:rPr>
              <w:t>本项目采用竞争性磋商方式采购，投标供应商在评标时需要进行二次报价，二次报价不得高于一次报价，一次报价和二次报价均不能超出招标控制价，超出的按废标处理。</w:t>
            </w:r>
          </w:p>
        </w:tc>
      </w:tr>
      <w:tr>
        <w:tc>
          <w:tcPr>
            <w:tcW w:type="dxa" w:w="2769"/>
          </w:tcPr>
          <w:p/>
        </w:tc>
        <w:tc>
          <w:tcPr>
            <w:tcW w:type="dxa" w:w="2769"/>
          </w:tcPr>
          <w:p>
            <w:pPr>
              <w:pStyle w:val="null5"/>
              <w:jc w:val="left"/>
            </w:pPr>
            <w:r>
              <w:rPr>
                <w:rFonts w:ascii="仿宋_GB2312" w:hAnsi="仿宋_GB2312" w:cs="仿宋_GB2312" w:eastAsia="仿宋_GB2312"/>
              </w:rPr>
              <w:t>8</w:t>
            </w:r>
          </w:p>
        </w:tc>
        <w:tc>
          <w:tcPr>
            <w:tcW w:type="dxa" w:w="2769"/>
          </w:tcPr>
          <w:p>
            <w:pPr>
              <w:pStyle w:val="null5"/>
              <w:ind w:right="-60"/>
              <w:jc w:val="left"/>
            </w:pPr>
            <w:r>
              <w:rPr>
                <w:rFonts w:ascii="仿宋_GB2312" w:hAnsi="仿宋_GB2312" w:cs="仿宋_GB2312" w:eastAsia="仿宋_GB2312"/>
                <w:sz w:val="24"/>
                <w:b/>
              </w:rPr>
              <w:t>关于纸质投标文件的说明</w:t>
            </w:r>
            <w:r>
              <w:rPr>
                <w:rFonts w:ascii="仿宋_GB2312" w:hAnsi="仿宋_GB2312" w:cs="仿宋_GB2312" w:eastAsia="仿宋_GB2312"/>
                <w:sz w:val="24"/>
                <w:b/>
              </w:rPr>
              <w:t xml:space="preserve">: </w:t>
            </w:r>
            <w:r>
              <w:rPr>
                <w:rFonts w:ascii="仿宋_GB2312" w:hAnsi="仿宋_GB2312" w:cs="仿宋_GB2312" w:eastAsia="仿宋_GB2312"/>
                <w:sz w:val="24"/>
              </w:rPr>
              <w:t>供应商中标后，须在发布中标公告后两天内提供与电子响应文件内容完全一致的纸质响应文件</w:t>
            </w:r>
            <w:r>
              <w:rPr>
                <w:rFonts w:ascii="仿宋_GB2312" w:hAnsi="仿宋_GB2312" w:cs="仿宋_GB2312" w:eastAsia="仿宋_GB2312"/>
                <w:sz w:val="24"/>
              </w:rPr>
              <w:t>4份（用于备案存档）。</w:t>
            </w:r>
          </w:p>
        </w:tc>
      </w:tr>
      <w:tr>
        <w:tc>
          <w:tcPr>
            <w:tcW w:type="dxa" w:w="2769"/>
          </w:tcPr>
          <w:p/>
        </w:tc>
        <w:tc>
          <w:tcPr>
            <w:tcW w:type="dxa" w:w="2769"/>
          </w:tcPr>
          <w:p>
            <w:pPr>
              <w:pStyle w:val="null5"/>
              <w:jc w:val="left"/>
            </w:pPr>
            <w:r>
              <w:rPr>
                <w:rFonts w:ascii="仿宋_GB2312" w:hAnsi="仿宋_GB2312" w:cs="仿宋_GB2312" w:eastAsia="仿宋_GB2312"/>
              </w:rPr>
              <w:t>9</w:t>
            </w:r>
          </w:p>
        </w:tc>
        <w:tc>
          <w:tcPr>
            <w:tcW w:type="dxa" w:w="2769"/>
          </w:tcPr>
          <w:p>
            <w:pPr>
              <w:pStyle w:val="null5"/>
              <w:ind w:right="-60"/>
              <w:jc w:val="left"/>
            </w:pPr>
            <w:r>
              <w:rPr>
                <w:rFonts w:ascii="仿宋_GB2312" w:hAnsi="仿宋_GB2312" w:cs="仿宋_GB2312" w:eastAsia="仿宋_GB2312"/>
                <w:sz w:val="24"/>
                <w:b/>
              </w:rPr>
              <w:t>响应文件制作说明</w:t>
            </w:r>
            <w:r>
              <w:rPr>
                <w:rFonts w:ascii="仿宋_GB2312" w:hAnsi="仿宋_GB2312" w:cs="仿宋_GB2312" w:eastAsia="仿宋_GB2312"/>
                <w:sz w:val="24"/>
                <w:b/>
              </w:rPr>
              <w:t>:</w:t>
            </w:r>
            <w:r>
              <w:rPr>
                <w:rFonts w:ascii="仿宋_GB2312" w:hAnsi="仿宋_GB2312" w:cs="仿宋_GB2312" w:eastAsia="仿宋_GB2312"/>
                <w:sz w:val="24"/>
              </w:rPr>
              <w:t>此项目为电子投标，制作响应文件时请到自治区采购网首页自行学习操作方法</w:t>
            </w:r>
            <w:r>
              <w:rPr>
                <w:rFonts w:ascii="仿宋_GB2312" w:hAnsi="仿宋_GB2312" w:cs="仿宋_GB2312" w:eastAsia="仿宋_GB2312"/>
                <w:sz w:val="24"/>
              </w:rPr>
              <w:t>(网站上有操作视频) ，如遇问题无法解决可直接联系软件公司咨询，内蒙古自治区金财公司技术支持400-0471-010。</w:t>
            </w:r>
          </w:p>
        </w:tc>
      </w:tr>
      <w:tr>
        <w:tc>
          <w:tcPr>
            <w:tcW w:type="dxa" w:w="2769"/>
          </w:tcPr>
          <w:p/>
        </w:tc>
        <w:tc>
          <w:tcPr>
            <w:tcW w:type="dxa" w:w="2769"/>
          </w:tcPr>
          <w:p>
            <w:pPr>
              <w:pStyle w:val="null5"/>
              <w:jc w:val="left"/>
            </w:pPr>
            <w:r>
              <w:rPr>
                <w:rFonts w:ascii="仿宋_GB2312" w:hAnsi="仿宋_GB2312" w:cs="仿宋_GB2312" w:eastAsia="仿宋_GB2312"/>
              </w:rPr>
              <w:t>10</w:t>
            </w:r>
          </w:p>
        </w:tc>
        <w:tc>
          <w:tcPr>
            <w:tcW w:type="dxa" w:w="2769"/>
          </w:tcPr>
          <w:p>
            <w:pPr>
              <w:pStyle w:val="null5"/>
              <w:jc w:val="both"/>
            </w:pPr>
            <w:r>
              <w:rPr>
                <w:rFonts w:ascii="仿宋_GB2312" w:hAnsi="仿宋_GB2312" w:cs="仿宋_GB2312" w:eastAsia="仿宋_GB2312"/>
                <w:sz w:val="24"/>
                <w:b/>
              </w:rPr>
              <w:t>招标文件模板</w:t>
            </w:r>
            <w:r>
              <w:rPr>
                <w:rFonts w:ascii="仿宋_GB2312" w:hAnsi="仿宋_GB2312" w:cs="仿宋_GB2312" w:eastAsia="仿宋_GB2312"/>
                <w:sz w:val="24"/>
                <w:b/>
              </w:rPr>
              <w:t xml:space="preserve">: </w:t>
            </w:r>
            <w:r>
              <w:rPr>
                <w:rFonts w:ascii="仿宋_GB2312" w:hAnsi="仿宋_GB2312" w:cs="仿宋_GB2312" w:eastAsia="仿宋_GB2312"/>
                <w:sz w:val="24"/>
              </w:rPr>
              <w:t>由于本项目采用电子系统招标，后台竞争性磋商文件为系统模板，根据具体项目的情况无法准确描述，部分内容只可填空，不可更改。采购文件中有不适用之处，敬请见谅。如有问题，请及时联系采购代理公司。</w:t>
            </w:r>
          </w:p>
        </w:tc>
      </w:tr>
      <w:tr>
        <w:tc>
          <w:tcPr>
            <w:tcW w:type="dxa" w:w="2769"/>
          </w:tcPr>
          <w:p/>
        </w:tc>
        <w:tc>
          <w:tcPr>
            <w:tcW w:type="dxa" w:w="2769"/>
          </w:tcPr>
          <w:p>
            <w:pPr>
              <w:pStyle w:val="null5"/>
              <w:jc w:val="left"/>
            </w:pPr>
            <w:r>
              <w:rPr>
                <w:rFonts w:ascii="仿宋_GB2312" w:hAnsi="仿宋_GB2312" w:cs="仿宋_GB2312" w:eastAsia="仿宋_GB2312"/>
              </w:rPr>
              <w:t>11</w:t>
            </w:r>
          </w:p>
        </w:tc>
        <w:tc>
          <w:tcPr>
            <w:tcW w:type="dxa" w:w="2769"/>
          </w:tcPr>
          <w:p>
            <w:pPr>
              <w:pStyle w:val="null5"/>
              <w:ind w:right="-60"/>
              <w:jc w:val="left"/>
            </w:pPr>
            <w:r>
              <w:rPr>
                <w:rFonts w:ascii="仿宋_GB2312" w:hAnsi="仿宋_GB2312" w:cs="仿宋_GB2312" w:eastAsia="仿宋_GB2312"/>
                <w:sz w:val="24"/>
                <w:b/>
              </w:rPr>
              <w:t>合同融资</w:t>
            </w:r>
            <w:r>
              <w:rPr>
                <w:rFonts w:ascii="仿宋_GB2312" w:hAnsi="仿宋_GB2312" w:cs="仿宋_GB2312" w:eastAsia="仿宋_GB2312"/>
                <w:sz w:val="24"/>
              </w:rPr>
              <w:t>:为支持和促进中小企业发展，切实解决企业融资难问题，包头市政府采购项目已开通合同融资渠道，供应商中标后可通过中标合同向相关银行发起无抵押无担保融资申请，银行根据企业中标信息发放贷款，帮助企业解决融资问题。相关资料可查阅：http://39.104.85.103/zcdservice/zcd/neimeng</w:t>
            </w:r>
          </w:p>
        </w:tc>
      </w:tr>
      <w:tr>
        <w:tc>
          <w:tcPr>
            <w:tcW w:type="dxa" w:w="2769"/>
          </w:tcPr>
          <w:p/>
        </w:tc>
        <w:tc>
          <w:tcPr>
            <w:tcW w:type="dxa" w:w="2769"/>
          </w:tcPr>
          <w:p>
            <w:pPr>
              <w:pStyle w:val="null5"/>
              <w:jc w:val="left"/>
            </w:pPr>
            <w:r>
              <w:rPr>
                <w:rFonts w:ascii="仿宋_GB2312" w:hAnsi="仿宋_GB2312" w:cs="仿宋_GB2312" w:eastAsia="仿宋_GB2312"/>
              </w:rPr>
              <w:t>12</w:t>
            </w:r>
          </w:p>
        </w:tc>
        <w:tc>
          <w:tcPr>
            <w:tcW w:type="dxa" w:w="2769"/>
          </w:tcPr>
          <w:p>
            <w:pPr>
              <w:pStyle w:val="null5"/>
              <w:jc w:val="both"/>
            </w:pPr>
            <w:r>
              <w:rPr>
                <w:rFonts w:ascii="仿宋_GB2312" w:hAnsi="仿宋_GB2312" w:cs="仿宋_GB2312" w:eastAsia="仿宋_GB2312"/>
                <w:sz w:val="24"/>
                <w:b/>
              </w:rPr>
              <w:t>特别提示</w:t>
            </w:r>
            <w:r>
              <w:rPr>
                <w:rFonts w:ascii="仿宋_GB2312" w:hAnsi="仿宋_GB2312" w:cs="仿宋_GB2312" w:eastAsia="仿宋_GB2312"/>
                <w:sz w:val="24"/>
              </w:rPr>
              <w:t>:本项目为远程开标，投标人需开标时远程解锁、确认。各投标人必须保证电脑可正常登陆、解密及签章。本项目设置解密、签章、确认时间均为30分钟，如投标供应商在规定时间内无法解密或签章、确认等，造成废标的，采购人及采购代理机构不承担任何责任。</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标的名称：市场监管辅助岗位服务外包项目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right="-45"/>
              <w:jc w:val="left"/>
            </w:pPr>
            <w:r>
              <w:rPr>
                <w:rFonts w:ascii="仿宋_GB2312" w:hAnsi="仿宋_GB2312" w:cs="仿宋_GB2312" w:eastAsia="仿宋_GB2312"/>
                <w:sz w:val="24"/>
              </w:rPr>
              <w:t>一、</w:t>
            </w:r>
            <w:r>
              <w:rPr>
                <w:rFonts w:ascii="仿宋_GB2312" w:hAnsi="仿宋_GB2312" w:cs="仿宋_GB2312" w:eastAsia="仿宋_GB2312"/>
                <w:sz w:val="24"/>
              </w:rPr>
              <w:t>行政执法辅助人员应当具备下列条件</w:t>
            </w:r>
          </w:p>
          <w:p>
            <w:pPr>
              <w:pStyle w:val="null5"/>
              <w:ind w:right="-45" w:firstLine="480"/>
              <w:jc w:val="left"/>
            </w:pPr>
            <w:r>
              <w:rPr>
                <w:rFonts w:ascii="仿宋_GB2312" w:hAnsi="仿宋_GB2312" w:cs="仿宋_GB2312" w:eastAsia="仿宋_GB2312"/>
                <w:sz w:val="24"/>
              </w:rPr>
              <w:t>1、具有中华人民共和国国籍。</w:t>
            </w:r>
          </w:p>
          <w:p>
            <w:pPr>
              <w:pStyle w:val="null5"/>
              <w:ind w:right="-45" w:firstLine="480"/>
              <w:jc w:val="left"/>
            </w:pPr>
            <w:r>
              <w:rPr>
                <w:rFonts w:ascii="仿宋_GB2312" w:hAnsi="仿宋_GB2312" w:cs="仿宋_GB2312" w:eastAsia="仿宋_GB2312"/>
                <w:sz w:val="24"/>
              </w:rPr>
              <w:t>2、遵守中华人民共和国宪法和法律，拥护中国共产党领 导和社会主义制度。</w:t>
            </w:r>
          </w:p>
          <w:p>
            <w:pPr>
              <w:pStyle w:val="null5"/>
              <w:ind w:right="-45" w:firstLine="480"/>
              <w:jc w:val="left"/>
            </w:pPr>
            <w:r>
              <w:rPr>
                <w:rFonts w:ascii="仿宋_GB2312" w:hAnsi="仿宋_GB2312" w:cs="仿宋_GB2312" w:eastAsia="仿宋_GB2312"/>
                <w:sz w:val="24"/>
              </w:rPr>
              <w:t>3、</w:t>
            </w:r>
            <w:r>
              <w:rPr>
                <w:rFonts w:ascii="仿宋_GB2312" w:hAnsi="仿宋_GB2312" w:cs="仿宋_GB2312" w:eastAsia="仿宋_GB2312"/>
                <w:sz w:val="24"/>
              </w:rPr>
              <w:t>年满十八周岁且首次聘用时年龄不超过三十五周岁</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4、</w:t>
            </w:r>
            <w:r>
              <w:rPr>
                <w:rFonts w:ascii="仿宋_GB2312" w:hAnsi="仿宋_GB2312" w:cs="仿宋_GB2312" w:eastAsia="仿宋_GB2312"/>
                <w:sz w:val="24"/>
              </w:rPr>
              <w:t>具有履行职责相应的文化程度</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5、</w:t>
            </w:r>
            <w:r>
              <w:rPr>
                <w:rFonts w:ascii="仿宋_GB2312" w:hAnsi="仿宋_GB2312" w:cs="仿宋_GB2312" w:eastAsia="仿宋_GB2312"/>
                <w:sz w:val="24"/>
              </w:rPr>
              <w:t>具有履行职责相应的身体素质和工作能力</w:t>
            </w:r>
            <w:r>
              <w:rPr>
                <w:rFonts w:ascii="仿宋_GB2312" w:hAnsi="仿宋_GB2312" w:cs="仿宋_GB2312" w:eastAsia="仿宋_GB2312"/>
                <w:sz w:val="24"/>
              </w:rPr>
              <w:t>。</w:t>
            </w:r>
          </w:p>
          <w:p>
            <w:pPr>
              <w:pStyle w:val="null5"/>
              <w:ind w:right="-45"/>
              <w:jc w:val="left"/>
            </w:pPr>
            <w:r>
              <w:rPr>
                <w:rFonts w:ascii="仿宋_GB2312" w:hAnsi="仿宋_GB2312" w:cs="仿宋_GB2312" w:eastAsia="仿宋_GB2312"/>
                <w:sz w:val="24"/>
              </w:rPr>
              <w:t>二、有下列情形之一的人员，不得招聘为</w:t>
            </w:r>
            <w:r>
              <w:rPr>
                <w:rFonts w:ascii="仿宋_GB2312" w:hAnsi="仿宋_GB2312" w:cs="仿宋_GB2312" w:eastAsia="仿宋_GB2312"/>
                <w:sz w:val="24"/>
              </w:rPr>
              <w:t>行政执法辅助人员</w:t>
            </w:r>
          </w:p>
          <w:p>
            <w:pPr>
              <w:pStyle w:val="null5"/>
              <w:ind w:right="-45" w:firstLine="480"/>
              <w:jc w:val="left"/>
            </w:pPr>
            <w:r>
              <w:rPr>
                <w:rFonts w:ascii="仿宋_GB2312" w:hAnsi="仿宋_GB2312" w:cs="仿宋_GB2312" w:eastAsia="仿宋_GB2312"/>
                <w:sz w:val="24"/>
              </w:rPr>
              <w:t>1、受过刑事处罚或者涉嫌违法犯罪尚未查情的。</w:t>
            </w:r>
          </w:p>
          <w:p>
            <w:pPr>
              <w:pStyle w:val="null5"/>
              <w:ind w:right="-45" w:firstLine="480"/>
              <w:jc w:val="left"/>
            </w:pPr>
            <w:r>
              <w:rPr>
                <w:rFonts w:ascii="仿宋_GB2312" w:hAnsi="仿宋_GB2312" w:cs="仿宋_GB2312" w:eastAsia="仿宋_GB2312"/>
                <w:sz w:val="24"/>
              </w:rPr>
              <w:t>2、曾被行政拘留或者有吸毒史的。</w:t>
            </w:r>
          </w:p>
          <w:p>
            <w:pPr>
              <w:pStyle w:val="null5"/>
              <w:ind w:right="-45" w:firstLine="480"/>
              <w:jc w:val="left"/>
            </w:pPr>
            <w:r>
              <w:rPr>
                <w:rFonts w:ascii="仿宋_GB2312" w:hAnsi="仿宋_GB2312" w:cs="仿宋_GB2312" w:eastAsia="仿宋_GB2312"/>
                <w:sz w:val="24"/>
              </w:rPr>
              <w:t>3、被国家机关、事业单位开除公职或者辞退的。</w:t>
            </w:r>
          </w:p>
          <w:p>
            <w:pPr>
              <w:pStyle w:val="null5"/>
              <w:ind w:right="-45" w:firstLine="480"/>
              <w:jc w:val="left"/>
            </w:pPr>
            <w:r>
              <w:rPr>
                <w:rFonts w:ascii="仿宋_GB2312" w:hAnsi="仿宋_GB2312" w:cs="仿宋_GB2312" w:eastAsia="仿宋_GB2312"/>
                <w:sz w:val="24"/>
              </w:rPr>
              <w:t>4、在公务员招考或事业单位公开招聘中被认定有舞弊等严重违反录用 (聘用) 纪律行为并在禁考期限内的人员。</w:t>
            </w:r>
          </w:p>
          <w:p>
            <w:pPr>
              <w:pStyle w:val="null5"/>
              <w:ind w:right="-45" w:firstLine="480"/>
              <w:jc w:val="left"/>
            </w:pPr>
            <w:r>
              <w:rPr>
                <w:rFonts w:ascii="仿宋_GB2312" w:hAnsi="仿宋_GB2312" w:cs="仿宋_GB2312" w:eastAsia="仿宋_GB2312"/>
                <w:sz w:val="24"/>
              </w:rPr>
              <w:t>5、应聘后即构成回避关系岗位的人员。</w:t>
            </w:r>
          </w:p>
          <w:p>
            <w:pPr>
              <w:pStyle w:val="null5"/>
              <w:ind w:right="-45" w:firstLine="480"/>
              <w:jc w:val="left"/>
            </w:pPr>
            <w:r>
              <w:rPr>
                <w:rFonts w:ascii="仿宋_GB2312" w:hAnsi="仿宋_GB2312" w:cs="仿宋_GB2312" w:eastAsia="仿宋_GB2312"/>
                <w:sz w:val="24"/>
              </w:rPr>
              <w:t>6、曾因违反行政执法机关管理规定被解聘的。</w:t>
            </w:r>
          </w:p>
          <w:p>
            <w:pPr>
              <w:pStyle w:val="null5"/>
              <w:ind w:right="-45" w:firstLine="480"/>
              <w:jc w:val="left"/>
            </w:pPr>
            <w:r>
              <w:rPr>
                <w:rFonts w:ascii="仿宋_GB2312" w:hAnsi="仿宋_GB2312" w:cs="仿宋_GB2312" w:eastAsia="仿宋_GB2312"/>
                <w:sz w:val="24"/>
              </w:rPr>
              <w:t>7、有较为严重的个人不良信用记录的。</w:t>
            </w:r>
          </w:p>
          <w:p>
            <w:pPr>
              <w:pStyle w:val="null5"/>
              <w:ind w:right="-45" w:firstLine="480"/>
              <w:jc w:val="left"/>
            </w:pPr>
            <w:r>
              <w:rPr>
                <w:rFonts w:ascii="仿宋_GB2312" w:hAnsi="仿宋_GB2312" w:cs="仿宋_GB2312" w:eastAsia="仿宋_GB2312"/>
                <w:sz w:val="24"/>
              </w:rPr>
              <w:t>8、其他不适合从事行政执法辅助工作的。</w:t>
            </w:r>
          </w:p>
          <w:p>
            <w:pPr>
              <w:pStyle w:val="null5"/>
              <w:ind w:right="-45"/>
              <w:jc w:val="left"/>
            </w:pPr>
            <w:r>
              <w:rPr>
                <w:rFonts w:ascii="仿宋_GB2312" w:hAnsi="仿宋_GB2312" w:cs="仿宋_GB2312" w:eastAsia="仿宋_GB2312"/>
                <w:sz w:val="24"/>
              </w:rPr>
              <w:t>三、</w:t>
            </w:r>
            <w:r>
              <w:rPr>
                <w:rFonts w:ascii="仿宋_GB2312" w:hAnsi="仿宋_GB2312" w:cs="仿宋_GB2312" w:eastAsia="仿宋_GB2312"/>
                <w:sz w:val="24"/>
              </w:rPr>
              <w:t>行政执法辅助人员履行以下工作职责</w:t>
            </w:r>
          </w:p>
          <w:p>
            <w:pPr>
              <w:pStyle w:val="null5"/>
              <w:ind w:right="-60"/>
              <w:jc w:val="both"/>
            </w:pPr>
            <w:r>
              <w:rPr>
                <w:rFonts w:ascii="仿宋_GB2312" w:hAnsi="仿宋_GB2312" w:cs="仿宋_GB2312" w:eastAsia="仿宋_GB2312"/>
                <w:sz w:val="24"/>
              </w:rPr>
              <w:t>（一）承担行政执法工作中下列事务性、保障性工作</w:t>
            </w:r>
          </w:p>
          <w:p>
            <w:pPr>
              <w:pStyle w:val="null5"/>
              <w:ind w:right="-45" w:firstLine="480"/>
              <w:jc w:val="left"/>
            </w:pPr>
            <w:r>
              <w:rPr>
                <w:rFonts w:ascii="仿宋_GB2312" w:hAnsi="仿宋_GB2312" w:cs="仿宋_GB2312" w:eastAsia="仿宋_GB2312"/>
                <w:sz w:val="24"/>
              </w:rPr>
              <w:t>1、执法协助</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1）协助行政执法：辅助人员需要协助行政执法人员维护现场秩序，预防、制止违法行为，确保市场监管工作的顺利开展。</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2）执法巡查：参与日常的市场监管执法巡查工作，对违法行为进行及时发现和报告。</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3）调查取证：在行政执法人员的指导下，协助开展调查取证工作，确保证据的准确性和完整性。</w:t>
            </w:r>
          </w:p>
          <w:p>
            <w:pPr>
              <w:pStyle w:val="null5"/>
              <w:ind w:right="-45" w:firstLine="480"/>
              <w:jc w:val="left"/>
            </w:pPr>
            <w:r>
              <w:rPr>
                <w:rFonts w:ascii="仿宋_GB2312" w:hAnsi="仿宋_GB2312" w:cs="仿宋_GB2312" w:eastAsia="仿宋_GB2312"/>
                <w:sz w:val="24"/>
              </w:rPr>
              <w:t>2、文书与档案管理</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1）法律文书送达：协助行政执法人员送达相关法律文书，确保法律程序的合规性。</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2）档案管理：负责案件卷宗的保管与整理，确保档案的完整性和可追溯性。</w:t>
            </w:r>
          </w:p>
          <w:p>
            <w:pPr>
              <w:pStyle w:val="null5"/>
              <w:ind w:right="-45" w:firstLine="480"/>
              <w:jc w:val="left"/>
            </w:pPr>
            <w:r>
              <w:rPr>
                <w:rFonts w:ascii="仿宋_GB2312" w:hAnsi="仿宋_GB2312" w:cs="仿宋_GB2312" w:eastAsia="仿宋_GB2312"/>
                <w:sz w:val="24"/>
              </w:rPr>
              <w:t>3、现场监管与整改</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1）现场监管：负责现场监管工作，对现场违法行为进行登记、调查，并下达法律文书。</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2）问题整改：对巡查中发现的问题进行现场整改，或协助企业完成整改手续办理等事项。</w:t>
            </w:r>
          </w:p>
          <w:p>
            <w:pPr>
              <w:pStyle w:val="null5"/>
              <w:ind w:right="-45" w:firstLine="480"/>
              <w:jc w:val="left"/>
            </w:pPr>
            <w:r>
              <w:rPr>
                <w:rFonts w:ascii="仿宋_GB2312" w:hAnsi="仿宋_GB2312" w:cs="仿宋_GB2312" w:eastAsia="仿宋_GB2312"/>
                <w:sz w:val="24"/>
              </w:rPr>
              <w:t>4、宣传与教育</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1）法律法规宣传：积极宣传市场监督管理法律、法规，提高公众的法律意识和合规意识。</w:t>
            </w:r>
          </w:p>
          <w:p>
            <w:pPr>
              <w:pStyle w:val="null5"/>
              <w:ind w:right="-45" w:firstLine="480"/>
              <w:jc w:val="left"/>
            </w:pPr>
            <w:r>
              <w:rPr>
                <w:rFonts w:ascii="仿宋_GB2312" w:hAnsi="仿宋_GB2312" w:cs="仿宋_GB2312" w:eastAsia="仿宋_GB2312"/>
                <w:sz w:val="24"/>
              </w:rPr>
              <w:t>5、其他职责</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1）信息采集与录入：负责市场监管相关信息的采集、录入和更新工作，确保信息的准确性和时效性。</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2）技术支持：提供必要的技术支持，协助完成市场监管工作的信息化、智能化建设。</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3）沟通协调：在日常工作中，与上级领导、相关部门以及市场主体进行沟通协调，确保工作的顺利进行。</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4）完成上级交办任务：积极完成上级领导交办的其他各项工作任务。</w:t>
            </w:r>
          </w:p>
          <w:p>
            <w:pPr>
              <w:pStyle w:val="null5"/>
              <w:ind w:right="-45"/>
              <w:jc w:val="left"/>
            </w:pPr>
            <w:r>
              <w:rPr>
                <w:rFonts w:ascii="仿宋_GB2312" w:hAnsi="仿宋_GB2312" w:cs="仿宋_GB2312" w:eastAsia="仿宋_GB2312"/>
                <w:sz w:val="24"/>
              </w:rPr>
              <w:t>（二）</w:t>
            </w:r>
            <w:r>
              <w:rPr>
                <w:rFonts w:ascii="仿宋_GB2312" w:hAnsi="仿宋_GB2312" w:cs="仿宋_GB2312" w:eastAsia="仿宋_GB2312"/>
                <w:sz w:val="24"/>
              </w:rPr>
              <w:t>行政执法辅助人员应当履行下列义务</w:t>
            </w:r>
          </w:p>
          <w:p>
            <w:pPr>
              <w:pStyle w:val="null5"/>
              <w:ind w:right="-45"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遵守工作纪律</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服从单位管理，听从现场行政执法人员指挥</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严格遵守仪容仪表和标识佩戴等行为规范</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保守国家秘密和工作秘密</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法律、法规、规章规定或合同约定的其他义务。</w:t>
            </w:r>
          </w:p>
          <w:p>
            <w:pPr>
              <w:pStyle w:val="null5"/>
              <w:ind w:right="-60"/>
              <w:jc w:val="both"/>
            </w:pPr>
            <w:r>
              <w:rPr>
                <w:rFonts w:ascii="仿宋_GB2312" w:hAnsi="仿宋_GB2312" w:cs="仿宋_GB2312" w:eastAsia="仿宋_GB2312"/>
                <w:sz w:val="24"/>
              </w:rPr>
              <w:t>（三）</w:t>
            </w:r>
            <w:r>
              <w:rPr>
                <w:rFonts w:ascii="仿宋_GB2312" w:hAnsi="仿宋_GB2312" w:cs="仿宋_GB2312" w:eastAsia="仿宋_GB2312"/>
                <w:sz w:val="24"/>
              </w:rPr>
              <w:t>行政执法辅助人员不得有下列行为</w:t>
            </w:r>
          </w:p>
          <w:p>
            <w:pPr>
              <w:pStyle w:val="null5"/>
              <w:ind w:right="-45"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单独实施行政处罚等行政执法中对公民、法人或者其他组织权利义务产生实际影响的行为</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删除、篡改或者扩散相关内部资料、执法文书、监控影像资料、报案记录、投诉举报记录等</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侵犯个人隐私或者泄露相关国家秘密、商业秘密以及其他需要保密的信息</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索取或者收受与履行职责有关的管理服务对象的财物</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参与履行职责有关的经营活动或者受雇于其他组织、个人</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6、法律、法规、规章规定的其他禁止行为。</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审查供应商2023年度经会计师事务所出具的财务审计报告或其基本开户银行出具的近一年内的银行资信证明或供应商出具的声明函。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或供应商出具的声明函。2.提供递交响应文件截止之日前一年内（至少一个月）缴纳社会保险的凭证（以专用收据或社会保险缴纳清单为准）或供应商出具的声明函。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审查供应商出具的“具有履行合同所必须的设备和专业技术能力”的证明材料或声明函。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1.供应商在中国政府采购网(http://www.ccgp.gov.cn/search/cr/)，未被列入政府采购严重违法失信行为记录名单，查询时间为发布公告之日至提交响应文件截止时间前； 2.供应商在信用中国网(http://www.creditchina.gov.cn)，未被列入重大税收违法失信主体、政府采购严重违法失信行为记录名单，查询时间为发布公告之日至提交响应文件截止时间前； 3.供应商在中国执行信息公开网(http://zxgk.court.gov.cn/shixin/),未被列入失信被执行人，查询时间为发布公告之日至提交响应文件截止时间前； 4.供应商近三年在中国裁判文书网(http://wenshu.court.gov.cn/)，法定代表人及单位无行贿犯罪行为。</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参与的供应商（联合体）服务全部由符合政策要求的中小企业承接，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项目需求理解与重难点分析</w:t>
            </w:r>
          </w:p>
        </w:tc>
        <w:tc>
          <w:tcPr>
            <w:tcW w:type="dxa" w:w="3115"/>
          </w:tcPr>
          <w:p>
            <w:pPr>
              <w:pStyle w:val="null5"/>
              <w:jc w:val="left"/>
            </w:pPr>
            <w:r>
              <w:rPr>
                <w:rFonts w:ascii="仿宋_GB2312" w:hAnsi="仿宋_GB2312" w:cs="仿宋_GB2312" w:eastAsia="仿宋_GB2312"/>
              </w:rPr>
              <w:t>根据供应商对本项目的需求理解与重难点分析，内容应包括但不限于:①项目的基本情况的理解和分析；②服务重点、难点分析；③重点、难点应对措施对上述三项方案内容的合理性、完整性、可行性分别进行评审，以上三项内容完整，均进行详细阐述且满足采购需求，得6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针对本项目特点，根据供应商提供的整体服务方案，包括但不限于：①项目实施方案；②服务方案流程；③招聘方案；④辅助岗位服务标准；⑤辅助岗位人员专业技术能力；⑥劳动仲裁，诉讼等事宜，对上述六项方案内容的合理性、完整性、可行性分别进行评审，以上六项内容完整，均进行详细阐述且满足采购需求，得18分；每缺一项扣3分，存在缺陷的一项扣0.1-2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管理、监管与约束机制</w:t>
            </w:r>
          </w:p>
        </w:tc>
        <w:tc>
          <w:tcPr>
            <w:tcW w:type="dxa" w:w="3115"/>
          </w:tcPr>
          <w:p>
            <w:pPr>
              <w:pStyle w:val="null5"/>
              <w:jc w:val="left"/>
            </w:pPr>
            <w:r>
              <w:rPr>
                <w:rFonts w:ascii="仿宋_GB2312" w:hAnsi="仿宋_GB2312" w:cs="仿宋_GB2312" w:eastAsia="仿宋_GB2312"/>
              </w:rPr>
              <w:t>针对本项目特点，根据供应商提供的的管理、监管与约束机制，包括但不限于：①激励机制；②监督机制；③自我约束机制；④信息反馈机制；⑤及时处理机制；对上述五项方案内容的合理性、完整性、可行性分别进行评审，以上五项内容完整，均进行详细阐述且满足采购需求，得10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服务质量保障方案</w:t>
            </w:r>
          </w:p>
        </w:tc>
        <w:tc>
          <w:tcPr>
            <w:tcW w:type="dxa" w:w="3115"/>
          </w:tcPr>
          <w:p>
            <w:pPr>
              <w:pStyle w:val="null5"/>
              <w:jc w:val="left"/>
            </w:pPr>
            <w:r>
              <w:rPr>
                <w:rFonts w:ascii="仿宋_GB2312" w:hAnsi="仿宋_GB2312" w:cs="仿宋_GB2312" w:eastAsia="仿宋_GB2312"/>
              </w:rPr>
              <w:t>根据供应商提供的服务质量保障方案，内容应包括但不限于：①质量管理目标；②质量管理计划；③质量管理措施；④保密措施；⑤后勤保障计划；对上述五项方案内容的合理性、完整性、可行性分别进行评审，以上五项内容完整，均进行详细阐述且满足需求，得10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人员培训方案</w:t>
            </w:r>
          </w:p>
        </w:tc>
        <w:tc>
          <w:tcPr>
            <w:tcW w:type="dxa" w:w="3115"/>
          </w:tcPr>
          <w:p>
            <w:pPr>
              <w:pStyle w:val="null5"/>
              <w:jc w:val="left"/>
            </w:pPr>
            <w:r>
              <w:rPr>
                <w:rFonts w:ascii="仿宋_GB2312" w:hAnsi="仿宋_GB2312" w:cs="仿宋_GB2312" w:eastAsia="仿宋_GB2312"/>
              </w:rPr>
              <w:t>根据供应商提供的人员培训方案，内容应包括但不限于：①培训目标；②培训对象与内容；③培训时间与方式安排；④培训效果评估与反馈；⑤培训资源与支持；对上述五项方案内容的合理性、完整性、可行性分别进行评审，以上五项内容完整，均进行详细阐述且满足采购需求，得10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对突发性事件的应急措施</w:t>
            </w:r>
          </w:p>
        </w:tc>
        <w:tc>
          <w:tcPr>
            <w:tcW w:type="dxa" w:w="3115"/>
          </w:tcPr>
          <w:p>
            <w:pPr>
              <w:pStyle w:val="null5"/>
              <w:jc w:val="left"/>
            </w:pPr>
            <w:r>
              <w:rPr>
                <w:rFonts w:ascii="仿宋_GB2312" w:hAnsi="仿宋_GB2312" w:cs="仿宋_GB2312" w:eastAsia="仿宋_GB2312"/>
              </w:rPr>
              <w:t>根据供应商提供的应急管理措施，内容应包括但不限于：①应急流程及措施；②应急演练及培训；③应急人员管理安排；④常见事故分析与处理措施，对上述四项方案内容的合理性、完整性、可行性分别进行评审，以上四项内容完整，均进行详细阐述且满足采购需求，得8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项目配备人员</w:t>
            </w:r>
          </w:p>
        </w:tc>
        <w:tc>
          <w:tcPr>
            <w:tcW w:type="dxa" w:w="3115"/>
          </w:tcPr>
          <w:p>
            <w:pPr>
              <w:pStyle w:val="null5"/>
              <w:jc w:val="left"/>
            </w:pPr>
            <w:r>
              <w:rPr>
                <w:rFonts w:ascii="仿宋_GB2312" w:hAnsi="仿宋_GB2312" w:cs="仿宋_GB2312" w:eastAsia="仿宋_GB2312"/>
              </w:rPr>
              <w:t>根据供应商提供的项目管理人员，内容应包括但不限于：①项目人员需求分析；②项目管理机构设置；③项目人员配备方案；④项目人员管理方案及职责的划分，对上述四项方案内容的合理性、完整性、可行性分别进行评审，以上四项内容完整，均进行详细阐述且满足采购需求，得8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同类业绩</w:t>
            </w:r>
          </w:p>
        </w:tc>
        <w:tc>
          <w:tcPr>
            <w:tcW w:type="dxa" w:w="3115"/>
          </w:tcPr>
          <w:p>
            <w:pPr>
              <w:pStyle w:val="null5"/>
              <w:jc w:val="left"/>
            </w:pPr>
            <w:r>
              <w:rPr>
                <w:rFonts w:ascii="仿宋_GB2312" w:hAnsi="仿宋_GB2312" w:cs="仿宋_GB2312" w:eastAsia="仿宋_GB2312"/>
              </w:rPr>
              <w:t>根据投标供应商近三年内（2022年1月至今，以签订合同时间为准）承揽过的同类业绩，有一项得2分，最多得10分。 备注：需提供中标通知书或合同扫描件，扫描件需清晰可见，未提供或扫描件无法辨认不予加分。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