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设施设备更新电气工程施工项目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土默特右旗公安局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正大鹏安建设项目管理有限公司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BTZCTYS-C-G-250003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正大鹏安建设项目管理有限公司</w:t>
      </w:r>
      <w:r>
        <w:rPr>
          <w:rFonts w:ascii="仿宋_GB2312" w:hAnsi="仿宋_GB2312" w:cs="仿宋_GB2312" w:eastAsia="仿宋_GB2312"/>
        </w:rPr>
        <w:t xml:space="preserve"> 受 </w:t>
      </w:r>
      <w:r>
        <w:rPr>
          <w:rFonts w:ascii="仿宋_GB2312" w:hAnsi="仿宋_GB2312" w:cs="仿宋_GB2312" w:eastAsia="仿宋_GB2312"/>
        </w:rPr>
        <w:t>土默特右旗公安局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设施设备更新电气工程施工项目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设施设备更新电气工程施工项目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BTZCTYS-C-G-250003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包政采计划[2025]土右00011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土默特右旗公安局设施设备更新电气工程施工项目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要求：（1）供应商须具有建设行政主管部门核发的电力工程施工总承包三级及以上资质或输变电工程专业承包三级及以上资质(或依据《住房和城乡建设部关于印发建设工程企业资质管理制度改革方案的通知》(建市(2020)94号)，具有建设行政主管部门颁发的施工综合资质或以上资质或输变电工程专业承包乙级及以上资质),且具有建设行政主管部门核发的有效期内的安全生产许可证(如换证或信息变更需提供相关证明文件); （2）供应商同时须具有国家能源局颁发的有效期内的承装(修、试)电力设施许可证(承装、承修、承试四级及以上);</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正大鹏安建设项目管理有限公司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170000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刘国臣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18347925501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土默特右旗公安局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土右旗公安局大楼三楼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陈桂芳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0472-6946989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代理服务费收费标准：参考内蒙古自治区工程建设协会文件关于印发《内蒙古自治区建设工程招标代理服务收费指导意见》的通知（内工建协【2022】34号）收费标准收取。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土默特右旗公安局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正大鹏安建设项目管理有限公司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设施设备更新电气工程施工项目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自合同签订之日起至项目竣工验收之日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1、合同签订后，达到付款条件起10日，支付合同总金额的20.00%</w:t>
            </w:r>
          </w:p>
          <w:p>
            <w:pPr>
              <w:pStyle w:val="null5"/>
              <w:jc w:val="left"/>
            </w:pPr>
            <w:r>
              <w:rPr>
                <w:rFonts w:ascii="仿宋_GB2312" w:hAnsi="仿宋_GB2312" w:cs="仿宋_GB2312" w:eastAsia="仿宋_GB2312"/>
              </w:rPr>
              <w:t>2、进场施工后，达到工程进度一半后，达到付款条件起10日，支付合同总金额的20.00%</w:t>
            </w:r>
          </w:p>
          <w:p>
            <w:pPr>
              <w:pStyle w:val="null5"/>
              <w:jc w:val="left"/>
            </w:pPr>
            <w:r>
              <w:rPr>
                <w:rFonts w:ascii="仿宋_GB2312" w:hAnsi="仿宋_GB2312" w:cs="仿宋_GB2312" w:eastAsia="仿宋_GB2312"/>
              </w:rPr>
              <w:t>3、竣工验收后，达到付款条件起10日，支付合同总金额的50.00%</w:t>
            </w:r>
          </w:p>
          <w:p>
            <w:pPr>
              <w:pStyle w:val="null5"/>
              <w:jc w:val="left"/>
            </w:pPr>
            <w:r>
              <w:rPr>
                <w:rFonts w:ascii="仿宋_GB2312" w:hAnsi="仿宋_GB2312" w:cs="仿宋_GB2312" w:eastAsia="仿宋_GB2312"/>
              </w:rPr>
              <w:t>4、竣工验收后1年，无质量问题达到采购人要求后，达到付款条件起10日，支付合同总金额的10.00%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标的名称：土默特右旗公安局设施设备更新电气工程施工项目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1365"/>
              <w:jc w:val="left"/>
            </w:pPr>
            <w:r>
              <w:rPr>
                <w:rFonts w:ascii="仿宋_GB2312" w:hAnsi="仿宋_GB2312" w:cs="仿宋_GB2312" w:eastAsia="仿宋_GB2312"/>
                <w:sz w:val="28"/>
                <w:b/>
              </w:rPr>
              <w:t>一、项目名称：</w:t>
            </w:r>
            <w:r>
              <w:rPr>
                <w:rFonts w:ascii="仿宋_GB2312" w:hAnsi="仿宋_GB2312" w:cs="仿宋_GB2312" w:eastAsia="仿宋_GB2312"/>
                <w:sz w:val="28"/>
              </w:rPr>
              <w:t>土默特右旗公安局设施设备更新工程电气工程</w:t>
            </w:r>
          </w:p>
          <w:p>
            <w:pPr>
              <w:pStyle w:val="null5"/>
              <w:ind w:left="-1470"/>
              <w:jc w:val="both"/>
            </w:pPr>
            <w:r>
              <w:rPr>
                <w:rFonts w:ascii="仿宋_GB2312" w:hAnsi="仿宋_GB2312" w:cs="仿宋_GB2312" w:eastAsia="仿宋_GB2312"/>
                <w:sz w:val="28"/>
                <w:b/>
              </w:rPr>
              <w:t>二、工程概况：</w:t>
            </w:r>
          </w:p>
          <w:p>
            <w:pPr>
              <w:pStyle w:val="null5"/>
              <w:ind w:firstLine="560"/>
              <w:jc w:val="left"/>
            </w:pPr>
            <w:r>
              <w:rPr>
                <w:rFonts w:ascii="仿宋_GB2312" w:hAnsi="仿宋_GB2312" w:cs="仿宋_GB2312" w:eastAsia="仿宋_GB2312"/>
                <w:sz w:val="28"/>
              </w:rPr>
              <w:t>1</w:t>
            </w:r>
            <w:r>
              <w:rPr>
                <w:rFonts w:ascii="仿宋_GB2312" w:hAnsi="仿宋_GB2312" w:cs="仿宋_GB2312" w:eastAsia="仿宋_GB2312"/>
                <w:sz w:val="28"/>
              </w:rPr>
              <w:t>、工程地点：土默特右旗公安局</w:t>
            </w:r>
          </w:p>
          <w:p>
            <w:pPr>
              <w:pStyle w:val="null5"/>
              <w:ind w:left="2235"/>
              <w:jc w:val="both"/>
            </w:pPr>
            <w:r>
              <w:rPr>
                <w:rFonts w:ascii="仿宋_GB2312" w:hAnsi="仿宋_GB2312" w:cs="仿宋_GB2312" w:eastAsia="仿宋_GB2312"/>
                <w:sz w:val="28"/>
              </w:rPr>
              <w:t>2</w:t>
            </w:r>
            <w:r>
              <w:rPr>
                <w:rFonts w:ascii="仿宋_GB2312" w:hAnsi="仿宋_GB2312" w:cs="仿宋_GB2312" w:eastAsia="仿宋_GB2312"/>
                <w:sz w:val="28"/>
              </w:rPr>
              <w:t>、工程内容：包</w:t>
            </w:r>
            <w:r>
              <w:rPr>
                <w:rFonts w:ascii="仿宋_GB2312" w:hAnsi="仿宋_GB2312" w:cs="仿宋_GB2312" w:eastAsia="仿宋_GB2312"/>
                <w:sz w:val="28"/>
              </w:rPr>
              <w:t>括</w:t>
            </w:r>
            <w:r>
              <w:rPr>
                <w:rFonts w:ascii="仿宋_GB2312" w:hAnsi="仿宋_GB2312" w:cs="仿宋_GB2312" w:eastAsia="仿宋_GB2312"/>
                <w:sz w:val="28"/>
              </w:rPr>
              <w:t>土默特右旗公安局的高压配电系统、低压配电系统、变压器、配电室、电气外网等工程。</w:t>
            </w:r>
          </w:p>
          <w:p>
            <w:pPr>
              <w:pStyle w:val="null5"/>
              <w:ind w:firstLine="560"/>
              <w:jc w:val="both"/>
            </w:pPr>
            <w:r>
              <w:rPr>
                <w:rFonts w:ascii="仿宋_GB2312" w:hAnsi="仿宋_GB2312" w:cs="仿宋_GB2312" w:eastAsia="仿宋_GB2312"/>
                <w:sz w:val="28"/>
                <w:b/>
              </w:rPr>
              <w:t>三、编制范围：</w:t>
            </w:r>
            <w:r>
              <w:rPr>
                <w:rFonts w:ascii="仿宋_GB2312" w:hAnsi="仿宋_GB2312" w:cs="仿宋_GB2312" w:eastAsia="仿宋_GB2312"/>
                <w:sz w:val="28"/>
              </w:rPr>
              <w:t>包</w:t>
            </w:r>
            <w:r>
              <w:rPr>
                <w:rFonts w:ascii="仿宋_GB2312" w:hAnsi="仿宋_GB2312" w:cs="仿宋_GB2312" w:eastAsia="仿宋_GB2312"/>
                <w:sz w:val="28"/>
              </w:rPr>
              <w:t>括</w:t>
            </w:r>
            <w:r>
              <w:rPr>
                <w:rFonts w:ascii="仿宋_GB2312" w:hAnsi="仿宋_GB2312" w:cs="仿宋_GB2312" w:eastAsia="仿宋_GB2312"/>
                <w:sz w:val="28"/>
              </w:rPr>
              <w:t>土默特右旗公安局的高压配电系统、低压配电系统、变压器、配电室、电气外网等工程。</w:t>
            </w:r>
          </w:p>
          <w:p>
            <w:pPr>
              <w:pStyle w:val="null5"/>
              <w:ind w:left="1965"/>
              <w:jc w:val="both"/>
            </w:pPr>
            <w:r>
              <w:rPr>
                <w:rFonts w:ascii="仿宋_GB2312" w:hAnsi="仿宋_GB2312" w:cs="仿宋_GB2312" w:eastAsia="仿宋_GB2312"/>
                <w:sz w:val="28"/>
                <w:b/>
              </w:rPr>
              <w:t>四、编制方法：</w:t>
            </w:r>
            <w:r>
              <w:rPr>
                <w:rFonts w:ascii="仿宋_GB2312" w:hAnsi="仿宋_GB2312" w:cs="仿宋_GB2312" w:eastAsia="仿宋_GB2312"/>
                <w:sz w:val="28"/>
              </w:rPr>
              <w:t>按《建设工程工程量清单计价规范》（</w:t>
            </w:r>
            <w:r>
              <w:rPr>
                <w:rFonts w:ascii="仿宋_GB2312" w:hAnsi="仿宋_GB2312" w:cs="仿宋_GB2312" w:eastAsia="仿宋_GB2312"/>
                <w:sz w:val="28"/>
              </w:rPr>
              <w:t>GB50500-2013</w:t>
            </w:r>
            <w:r>
              <w:rPr>
                <w:rFonts w:ascii="仿宋_GB2312" w:hAnsi="仿宋_GB2312" w:cs="仿宋_GB2312" w:eastAsia="仿宋_GB2312"/>
                <w:sz w:val="28"/>
              </w:rPr>
              <w:t>）</w:t>
            </w:r>
            <w:r>
              <w:rPr>
                <w:rFonts w:ascii="仿宋_GB2312" w:hAnsi="仿宋_GB2312" w:cs="仿宋_GB2312" w:eastAsia="仿宋_GB2312"/>
                <w:sz w:val="28"/>
              </w:rPr>
              <w:t>规定编制。</w:t>
            </w:r>
          </w:p>
          <w:p>
            <w:pPr>
              <w:pStyle w:val="null5"/>
              <w:jc w:val="both"/>
            </w:pPr>
            <w:r>
              <w:rPr>
                <w:rFonts w:ascii="仿宋_GB2312" w:hAnsi="仿宋_GB2312" w:cs="仿宋_GB2312" w:eastAsia="仿宋_GB2312"/>
                <w:sz w:val="28"/>
                <w:b/>
              </w:rPr>
              <w:t>五、编制依据：</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委托方</w:t>
            </w:r>
            <w:r>
              <w:rPr>
                <w:rFonts w:ascii="仿宋_GB2312" w:hAnsi="仿宋_GB2312" w:cs="仿宋_GB2312" w:eastAsia="仿宋_GB2312"/>
                <w:sz w:val="28"/>
              </w:rPr>
              <w:t>提供</w:t>
            </w:r>
            <w:r>
              <w:rPr>
                <w:rFonts w:ascii="仿宋_GB2312" w:hAnsi="仿宋_GB2312" w:cs="仿宋_GB2312" w:eastAsia="仿宋_GB2312"/>
                <w:sz w:val="28"/>
              </w:rPr>
              <w:t>工程量清单</w:t>
            </w:r>
          </w:p>
          <w:p>
            <w:pPr>
              <w:pStyle w:val="null5"/>
              <w:ind w:firstLine="560"/>
              <w:jc w:val="both"/>
            </w:pPr>
            <w:r>
              <w:rPr>
                <w:rFonts w:ascii="仿宋_GB2312" w:hAnsi="仿宋_GB2312" w:cs="仿宋_GB2312" w:eastAsia="仿宋_GB2312"/>
                <w:sz w:val="28"/>
              </w:rPr>
              <w:t>2</w:t>
            </w:r>
            <w:r>
              <w:rPr>
                <w:rFonts w:ascii="仿宋_GB2312" w:hAnsi="仿宋_GB2312" w:cs="仿宋_GB2312" w:eastAsia="仿宋_GB2312"/>
                <w:sz w:val="28"/>
              </w:rPr>
              <w:t>、《内蒙古自治区建设工程工程量清单计价规范实施细则》的通知（内建工</w:t>
            </w:r>
            <w:r>
              <w:rPr>
                <w:rFonts w:ascii="仿宋_GB2312" w:hAnsi="仿宋_GB2312" w:cs="仿宋_GB2312" w:eastAsia="仿宋_GB2312"/>
                <w:sz w:val="28"/>
              </w:rPr>
              <w:t>2013</w:t>
            </w:r>
            <w:r>
              <w:rPr>
                <w:rFonts w:ascii="仿宋_GB2312" w:hAnsi="仿宋_GB2312" w:cs="仿宋_GB2312" w:eastAsia="仿宋_GB2312"/>
                <w:sz w:val="28"/>
              </w:rPr>
              <w:t>第</w:t>
            </w:r>
            <w:r>
              <w:rPr>
                <w:rFonts w:ascii="仿宋_GB2312" w:hAnsi="仿宋_GB2312" w:cs="仿宋_GB2312" w:eastAsia="仿宋_GB2312"/>
                <w:sz w:val="28"/>
              </w:rPr>
              <w:t>641</w:t>
            </w:r>
            <w:r>
              <w:rPr>
                <w:rFonts w:ascii="仿宋_GB2312" w:hAnsi="仿宋_GB2312" w:cs="仿宋_GB2312" w:eastAsia="仿宋_GB2312"/>
                <w:sz w:val="28"/>
              </w:rPr>
              <w:t>号）</w:t>
            </w:r>
          </w:p>
          <w:p>
            <w:pPr>
              <w:pStyle w:val="null5"/>
              <w:ind w:firstLine="560"/>
              <w:jc w:val="both"/>
            </w:pPr>
            <w:r>
              <w:rPr>
                <w:rFonts w:ascii="仿宋_GB2312" w:hAnsi="仿宋_GB2312" w:cs="仿宋_GB2312" w:eastAsia="仿宋_GB2312"/>
                <w:sz w:val="28"/>
              </w:rPr>
              <w:t>3</w:t>
            </w:r>
            <w:r>
              <w:rPr>
                <w:rFonts w:ascii="仿宋_GB2312" w:hAnsi="仿宋_GB2312" w:cs="仿宋_GB2312" w:eastAsia="仿宋_GB2312"/>
                <w:sz w:val="28"/>
              </w:rPr>
              <w:t>、《建设工程工程量清单计价规范》（</w:t>
            </w:r>
            <w:r>
              <w:rPr>
                <w:rFonts w:ascii="仿宋_GB2312" w:hAnsi="仿宋_GB2312" w:cs="仿宋_GB2312" w:eastAsia="仿宋_GB2312"/>
                <w:sz w:val="28"/>
              </w:rPr>
              <w:t>GB50500-2013</w:t>
            </w:r>
            <w:r>
              <w:rPr>
                <w:rFonts w:ascii="仿宋_GB2312" w:hAnsi="仿宋_GB2312" w:cs="仿宋_GB2312" w:eastAsia="仿宋_GB2312"/>
                <w:sz w:val="28"/>
              </w:rPr>
              <w:t>）与专业工程量计算规范</w:t>
            </w:r>
          </w:p>
          <w:p>
            <w:pPr>
              <w:pStyle w:val="null5"/>
              <w:ind w:firstLine="560"/>
              <w:jc w:val="both"/>
            </w:pPr>
            <w:r>
              <w:rPr>
                <w:rFonts w:ascii="仿宋_GB2312" w:hAnsi="仿宋_GB2312" w:cs="仿宋_GB2312" w:eastAsia="仿宋_GB2312"/>
                <w:sz w:val="28"/>
              </w:rPr>
              <w:t>4</w:t>
            </w:r>
            <w:r>
              <w:rPr>
                <w:rFonts w:ascii="仿宋_GB2312" w:hAnsi="仿宋_GB2312" w:cs="仿宋_GB2312" w:eastAsia="仿宋_GB2312"/>
                <w:sz w:val="28"/>
              </w:rPr>
              <w:t>、其他有关现行国家及地方行业规范、标准</w:t>
            </w:r>
          </w:p>
          <w:p>
            <w:pPr>
              <w:pStyle w:val="null5"/>
              <w:ind w:firstLine="560"/>
              <w:jc w:val="both"/>
            </w:pPr>
            <w:r>
              <w:rPr>
                <w:rFonts w:ascii="仿宋_GB2312" w:hAnsi="仿宋_GB2312" w:cs="仿宋_GB2312" w:eastAsia="仿宋_GB2312"/>
                <w:sz w:val="30"/>
                <w:b/>
              </w:rPr>
              <w:t>六、具体详见工程量清单。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1）供应商须具有建设行政主管部门核发的电力工程施工总承包三级及以上资质或输变电工程专业承包三级及以上资质(或依据《住房和城乡建设部关于印发建设工程企业资质管理制度改革方案的通知》(建市(2020)94号)，具有建设行政主管部门颁发的施工综合资质或以上资质或输变电工程专业承包乙级及以上资质),且具有建设行政主管部门核发的有效期内的安全生产许可证(如换证或信息变更需提供相关证明文件); （2）供应商同时须具有国家能源局颁发的有效期内的承装(修、试)电力设施许可证(承装、承修、承试四级及以上);</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对施工组织设计内容全面、完整，能够指导施工等情况进行评价。 (1)内容全面详细，针对性强、完全满足项目要求，得11-15分； (2)内容较为详细，针对性较强、满足项目要求，得6-10分； (3)内容偏简单，针对性一般 ，基本满足项目要求，方案经优化后可执行，得1-5分； (4)无相关内容不得分。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对项目实施方案总体编制水平进行宏观评价（方案需包括但不限于以下内容：①材料采购计划、②验收计划、③施工方案及技术措施、④项目进度计划、⑤资源配置计划、⑥文明安全施工计划、⑦项目团队组成等）方案完整，以上内容每提供一项，得1分，不提供不得分，完全具备以上内容，得7分。在此基础上，对各供应商的总体服务方案进行综合比较打分：方案详细,逻辑严谨，无缺项漏项，能从项目整体角度考虑，可实施性强，得9-13分；方案完整但不详细，仅对评分点做响应，整体方案连贯性差，得4-8分；方案不完整，存在明显缺项漏项，可行性差，得1-3分；不提供本项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对质量目标满足采购文件要求，质量控制计划完整、岗位责任明确、材料采购、过程控制及检验、分项措施有针对性等情况进行评价。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对安全文明施工目标满足采购文件要求，安全管理体系健全、单位工程安全防护方案符合国家及地方管理规定，防护措施有针对性等情况进行评价。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环保管理体系与措施</w:t>
            </w:r>
          </w:p>
        </w:tc>
        <w:tc>
          <w:tcPr>
            <w:tcW w:type="dxa" w:w="3115"/>
          </w:tcPr>
          <w:p>
            <w:pPr>
              <w:pStyle w:val="null5"/>
              <w:jc w:val="left"/>
            </w:pPr>
            <w:r>
              <w:rPr>
                <w:rFonts w:ascii="仿宋_GB2312" w:hAnsi="仿宋_GB2312" w:cs="仿宋_GB2312" w:eastAsia="仿宋_GB2312"/>
              </w:rPr>
              <w:t>对环境保护管理体系健全、污染物处理及排放符合国家及地方环境保护标准、技术及管理措施到位等情况进行评价。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对资源配备计划齐全，其中主要机械设备、劳动力、施工机具、安全防护用品满足工程进度及施工管理要求等情况进行评价。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安全文明施工要求</w:t>
            </w:r>
          </w:p>
        </w:tc>
        <w:tc>
          <w:tcPr>
            <w:tcW w:type="dxa" w:w="3115"/>
          </w:tcPr>
          <w:p>
            <w:pPr>
              <w:pStyle w:val="null5"/>
              <w:jc w:val="left"/>
            </w:pPr>
            <w:r>
              <w:rPr>
                <w:rFonts w:ascii="仿宋_GB2312" w:hAnsi="仿宋_GB2312" w:cs="仿宋_GB2312" w:eastAsia="仿宋_GB2312"/>
              </w:rPr>
              <w:t>对现场平面布置合理性及符合安全文明施工要求等情况进行评价。 (1)内容详细、完善、合理，完全满足项目要求，得5-6分； (2)内容比较完善、比较合理，满足项目要求，得3-4分； (3)内容基本完善、基本合理，基本满足项目要求，得1-2分； (4)无相关内容不得分。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紧急抢修措施</w:t>
            </w:r>
          </w:p>
        </w:tc>
        <w:tc>
          <w:tcPr>
            <w:tcW w:type="dxa" w:w="3115"/>
          </w:tcPr>
          <w:p>
            <w:pPr>
              <w:pStyle w:val="null5"/>
              <w:jc w:val="left"/>
            </w:pPr>
            <w:r>
              <w:rPr>
                <w:rFonts w:ascii="仿宋_GB2312" w:hAnsi="仿宋_GB2312" w:cs="仿宋_GB2312" w:eastAsia="仿宋_GB2312"/>
              </w:rPr>
              <w:t>针对本项目出现的紧急抢修措施合理、可行，响应及时等情况进行评价。(1)内容详细、完善、合理，完全满足项目要求，得4-5分； (2)内容比较完善、比较合理，满足项目要求，得2-3分； (3)内容基本完善、基本合理，基本满足项目要求，得1分； (4)无相关内容不得分。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新技术、新材料、新工艺的应用</w:t>
            </w:r>
          </w:p>
        </w:tc>
        <w:tc>
          <w:tcPr>
            <w:tcW w:type="dxa" w:w="3115"/>
          </w:tcPr>
          <w:p>
            <w:pPr>
              <w:pStyle w:val="null5"/>
              <w:jc w:val="left"/>
            </w:pPr>
            <w:r>
              <w:rPr>
                <w:rFonts w:ascii="仿宋_GB2312" w:hAnsi="仿宋_GB2312" w:cs="仿宋_GB2312" w:eastAsia="仿宋_GB2312"/>
              </w:rPr>
              <w:t>对结合企业综合能力，积极推广四新技术，使用绿色建材，降低工程成本，加快工程进度，从成本、质量、社会效益、经济环境等因素综合分析等情况进行评价。 (1)内容详细、完善、合理，完全满足项目要求，得4-5分； (2)内容比较完善、比较合理，满足项目要求，得2-3分； (3)内容基本完善、基本合理，基本满足项目要求，得1分； (4)无相关内容不得分。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供应商近三年承建的类似的工程，有一项得2分，最多得10分。提供中标（成交）通知书或合同扫描件。 注：近三年指2022年1月-至今（以合同签订日期或中标（成交）通知书发放日期为准）。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项目拟投入人员团队</w:t>
            </w:r>
          </w:p>
        </w:tc>
        <w:tc>
          <w:tcPr>
            <w:tcW w:type="dxa" w:w="3115"/>
          </w:tcPr>
          <w:p>
            <w:pPr>
              <w:pStyle w:val="null5"/>
              <w:jc w:val="left"/>
            </w:pPr>
            <w:r>
              <w:rPr>
                <w:rFonts w:ascii="仿宋_GB2312" w:hAnsi="仿宋_GB2312" w:cs="仿宋_GB2312" w:eastAsia="仿宋_GB2312"/>
              </w:rPr>
              <w:t>根据现场配置管理人员（包括项目经理、技术负责人、施工员、质检员、安全员、材料员、预算员、资料员等人员）基本情况、机构设置、班子配备的齐备、完整、合理程度，进行综合评定，按优、良、平三个等级分别得5分、3分、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