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2024年土默特右旗美岱召镇美岱召村新建小型农田水利设施一事一议建设项目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土默特右旗美岱召镇人民政府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内蒙古东捷工程项目管理有限责任公司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BTZCTYS-C-G-250004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内蒙古东捷工程项目管理有限责任公司</w:t>
      </w:r>
      <w:r>
        <w:rPr>
          <w:rFonts w:ascii="仿宋_GB2312" w:hAnsi="仿宋_GB2312" w:cs="仿宋_GB2312" w:eastAsia="仿宋_GB2312"/>
        </w:rPr>
        <w:t xml:space="preserve"> 受 </w:t>
      </w:r>
      <w:r>
        <w:rPr>
          <w:rFonts w:ascii="仿宋_GB2312" w:hAnsi="仿宋_GB2312" w:cs="仿宋_GB2312" w:eastAsia="仿宋_GB2312"/>
        </w:rPr>
        <w:t>土默特右旗美岱召镇人民政府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2024年土默特右旗美岱召镇美岱召村新建小型农田水利设施一事一议建设项目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2024年土默特右旗美岱召镇美岱召村新建小型农田水利设施一事一议建设项目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BTZCTYS-C-G-250004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包政采计划[2025]土右00009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914,484.26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2024年土默特右旗美岱召镇美岱召村新建小型农田水利设施一事一议建设项目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914,484.26</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1、资格审查：(1)具有建设行政主管部门颁发的水利水电施工总承包三级及以上资质，具有有效的安全生产许可证。 (2)拟派项目经理具有水利水电工程专业二级及以上注册建造师执业资格及有效安全生产考核合格证及无在建声明函。</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本项目采用“不见面开标”模式进行开标（供应商无需到达开标现场，开标当日在投标截止时间前登录“ 内蒙古自治区 政 府采购网--政府采购云平台”参加远程开标）。请供应商使用投标客户端严格按照磋商文件的相关要求制作和上传电子响应 文 件，并按照相关要求参加开标。</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内蒙古东捷工程项目管理有限责任公司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内蒙古自治区包头市青山区恒源银座B座701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刘倩</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13190743331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土默特右旗美岱召镇人民政府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土默特右旗美岱早产何家圐圙村</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孔敏</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0472-8851566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代理服务费收费标准：中标金额的1.2%</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1.本项目为电子投标，制作响应文件时请到自治区采购网首页自行学习操作方法（网站上有操作视频），如遇问题无法解决可直接联系软件公司咨询，技术服务热线电话: 400-0471-010。 2.由于本项目采用电子系统招标，招标文件为系统模板，根据具体项目的情况无法准确描述，部分内容只可填空，不可更改。所以招标文件中有不适用之处，敬请见谅 。如有问题，请及时联系采购代理机构。 3.本项目为远程开标，供应商需提前半小时登录系统签到，开标时远程解锁、确认。开标时，各供应商必须保证电脑可正常登陆、解密及签章。本项目设置解密、签章确认时限均为30分钟 ，如供应商在规定时间内无法解密或签章，造成废标的，采购人及采购代理机构不承担任何责任。 4.关于纸质响应文件的要求：供应商中标后，须于中标结果公告后提供与电子响应文件内容完全一致的纸质响应文件3份（用于备案存档）。纸质响应文件要求由响应文件制作工具直接打印（内容必须完整）、装订后并加盖单位公章，如与电子版响应文件内容不一致所引起一切法律责任及不良后果，由供应商自行承担，并记入诚信档案。纸质响应文件中所有要求盖章、签字的地方都按“招标文件”中“签字、盖章要求”执行。打印注意事项：纸质响应文件要以胶装形式牢固装订。按招标文件中格式”的顺序装订成册，牢固装订是指装订好的响应文件不至于在翻阅时散开或用简单的方式将其中一项取出或将其他文件插入，各种活页装订、打孔式、塑料方便式书脊插入装订的不认为是牢固装订。 5.合同融资：为支持和促进中小企业发展，切实解决企业融资难问 题，包头市政府采购项目已开通合同融资渠道，供应商中标后可通 过中标合同向相关银行发起无抵押无担保融资申请，银行根据企业 中标信息发放贷款，帮助企业解决融资问题。相关资料可查阅：http://39.104.85.103/zcdservice/zcd/neimeng</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土默特右旗美岱召镇人民政府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内蒙古东捷工程项目管理有限责任公司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 xml:space="preserve"> 2024年土默特右旗美岱召镇美岱召村新建小型农田水利设施一事一议建设项目，具体详见磋商文件及工程量清单。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总工期为120日历天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土默特右旗美岱召镇美岱召村</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1、合同中详定，达到付款条件起1日，支付合同总金额的80.00%</w:t>
            </w:r>
          </w:p>
          <w:p>
            <w:pPr>
              <w:pStyle w:val="null5"/>
              <w:jc w:val="left"/>
            </w:pPr>
            <w:r>
              <w:rPr>
                <w:rFonts w:ascii="仿宋_GB2312" w:hAnsi="仿宋_GB2312" w:cs="仿宋_GB2312" w:eastAsia="仿宋_GB2312"/>
              </w:rPr>
              <w:t>2、合同中详定，达到付款条件起1日，支付合同总金额的10.00%</w:t>
            </w:r>
          </w:p>
          <w:p>
            <w:pPr>
              <w:pStyle w:val="null5"/>
              <w:jc w:val="left"/>
            </w:pPr>
            <w:r>
              <w:rPr>
                <w:rFonts w:ascii="仿宋_GB2312" w:hAnsi="仿宋_GB2312" w:cs="仿宋_GB2312" w:eastAsia="仿宋_GB2312"/>
              </w:rPr>
              <w:t>3、合同中详定，达到付款条件起1日，支付合同总金额的10.00%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标的名称：2024年土默特右旗美岱召镇美岱召村新建小型农田水利设施一事一议建设项目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详见附件信息上传的工程量清单，响应供应商应当按照工程量清单进行报价。</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资格审查</w:t>
            </w:r>
          </w:p>
        </w:tc>
        <w:tc>
          <w:tcPr>
            <w:tcW w:type="dxa" w:w="4984"/>
          </w:tcPr>
          <w:p>
            <w:pPr>
              <w:pStyle w:val="null5"/>
              <w:jc w:val="left"/>
            </w:pPr>
            <w:r>
              <w:rPr>
                <w:rFonts w:ascii="仿宋_GB2312" w:hAnsi="仿宋_GB2312" w:cs="仿宋_GB2312" w:eastAsia="仿宋_GB2312"/>
              </w:rPr>
              <w:t>(1)具有建设行政主管部门颁发的水利水电施工总承包三级及以上资质，具有有效的安全生产许可证。 (2)拟派项目经理具有水利水电工程专业二级及以上注册建造师执业资格及有效安全生产考核合格证及无在建声明函。</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施工组织设计整体编制水平</w:t>
            </w:r>
          </w:p>
        </w:tc>
        <w:tc>
          <w:tcPr>
            <w:tcW w:type="dxa" w:w="3115"/>
          </w:tcPr>
          <w:p>
            <w:pPr>
              <w:pStyle w:val="null5"/>
              <w:jc w:val="left"/>
            </w:pPr>
            <w:r>
              <w:rPr>
                <w:rFonts w:ascii="仿宋_GB2312" w:hAnsi="仿宋_GB2312" w:cs="仿宋_GB2312" w:eastAsia="仿宋_GB2312"/>
              </w:rPr>
              <w:t>对施工组织设计总体编制水平进行宏观评价，视主要内容完整情况进行综合评定：1、针对性强，内容全面、详细，描述准确、规范，完全符合要求得4.1-6分；2、针对性较强，内容较 全面、详细，描述较准确、规范，符合要求得2.1-4分；3、内容基本齐全，基本符合要求，存在少量缺漏，得0.1-2分，4、未提供相关内容不得分。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对施工组织设计总体编制水平进行宏观评价，视主要内容完整情况进行综合评定：1、针对性强，内容全面、详细，描述准确、规范，完全符合要求得4.1-6分；2、针对性较强，内容较 全面、详细，描述较准确、规范，符合要求得2.1-4分；3、内容基本齐全，基本符合要求，存在少量缺漏，得0.1-2分，4、未提供相关内容不得分。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视质量目标满足招标文件要求，质量控制计划完整、岗位责任明确、材料采购、过程控制及检验、分项措施有针对性等情况进行综合评定：1、针对性强，便于组织施工，内容全面、详细，描述准确、规范，完全符合要求得4.1-6分；2、便于组织施工，内容较全面，描述较准确，符合要求得2.1-4分；3、针对性一般，内容基本完整，基本符合要求得0.1-2分；4、未提供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视安全文明施工目标满足招标文件要求， 安全管理体系健全、单位工程安全防护方案符合国家及地方管理规定，防护措施有针对性等情况进行综合评定：1、针对性强，便于组织施工，内容全面、详细，描述准确、规范，完全符合要求得4.1-6分；2、便于组织施工，内容较全面，描述较准确，符合要求得2.1-4分；3、针对性一般，内容基本完整，基本符合要求得0.1-2分；4、未提供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环保管理体系与措施</w:t>
            </w:r>
          </w:p>
        </w:tc>
        <w:tc>
          <w:tcPr>
            <w:tcW w:type="dxa" w:w="3115"/>
          </w:tcPr>
          <w:p>
            <w:pPr>
              <w:pStyle w:val="null5"/>
              <w:jc w:val="left"/>
            </w:pPr>
            <w:r>
              <w:rPr>
                <w:rFonts w:ascii="仿宋_GB2312" w:hAnsi="仿宋_GB2312" w:cs="仿宋_GB2312" w:eastAsia="仿宋_GB2312"/>
              </w:rPr>
              <w:t>视环境保护管理体系健全、污染物处理及排放符合国家及地方环境保护标准、技术及管理措施到位情况进行综合评定：1、针对性强，便于组织施工，内容全面、详细，描述准确、规范，完全符合要求得4.1-6分；2、便于组织施工，内容较全面，描述较准确，符合要求得2.1-4分；3、针对性一般，内容基本完整，基本符合要求得0.1-2分；4、未提供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视资源配备计划齐全，其中主要机械设备、劳动力、施工机具、架料及安全防护 用品满足工程进度及施工管理情况进行综合评定：1、内容完整、详细，完全满足要求得4.1-6分；2、内容较完整、较详细，符合要求得2.1-4分；3、内容基本完整、基本符合要求，存在少量疏漏得0.1-2分，4、未提供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视施工工期满足招标文件要求，施工进度计划合理、可行，措施得力程度及网络图设置的合理程度进行综合评定：1、施工进度计划编制合理、措施得力、可操作性强，保证措施可靠得4.1-6分；2、施工进度计划编制比较合理，控制措施比较得力、可操作性比较强，保证措施比较可靠得2.1-4分；3、施工进度计划编制基本合理，控制措施基本合理、存在少量疏漏得0.1-2分；4、未提供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现场平面布置合理性及安全文明施工要求</w:t>
            </w:r>
          </w:p>
        </w:tc>
        <w:tc>
          <w:tcPr>
            <w:tcW w:type="dxa" w:w="3115"/>
          </w:tcPr>
          <w:p>
            <w:pPr>
              <w:pStyle w:val="null5"/>
              <w:jc w:val="left"/>
            </w:pPr>
            <w:r>
              <w:rPr>
                <w:rFonts w:ascii="仿宋_GB2312" w:hAnsi="仿宋_GB2312" w:cs="仿宋_GB2312" w:eastAsia="仿宋_GB2312"/>
              </w:rPr>
              <w:t>视现场平面布置合理性及符合安全文明施工要求的程度进行综合评定：1、现场平面布置合理、完全符合安全文明施工要求4.1-6分；2、现场平面布置较合理、基本符合安全文明施工要求得2.1-4分；3、现场平面布置不够合理、不能满足安全文明施工要求0.1-2分；4、未提供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应用新产品、新技术、新标准规范</w:t>
            </w:r>
          </w:p>
        </w:tc>
        <w:tc>
          <w:tcPr>
            <w:tcW w:type="dxa" w:w="3115"/>
          </w:tcPr>
          <w:p>
            <w:pPr>
              <w:pStyle w:val="null5"/>
              <w:jc w:val="left"/>
            </w:pPr>
            <w:r>
              <w:rPr>
                <w:rFonts w:ascii="仿宋_GB2312" w:hAnsi="仿宋_GB2312" w:cs="仿宋_GB2312" w:eastAsia="仿宋_GB2312"/>
              </w:rPr>
              <w:t>视提出应用新产品、新技术、新标准规范的科学合理性进行综合评定：1、应用新产品、新技术、新标准规范科学、合理得4.1-6分；2、应用新产品、新技术、新标准规范较科学合理得2.1-4分；3、应用新产品、新技术、新标准规范基本科学合理得0.1-2分；4、未提供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现场配置管理人员</w:t>
            </w:r>
          </w:p>
        </w:tc>
        <w:tc>
          <w:tcPr>
            <w:tcW w:type="dxa" w:w="3115"/>
          </w:tcPr>
          <w:p>
            <w:pPr>
              <w:pStyle w:val="null5"/>
              <w:jc w:val="left"/>
            </w:pPr>
            <w:r>
              <w:rPr>
                <w:rFonts w:ascii="仿宋_GB2312" w:hAnsi="仿宋_GB2312" w:cs="仿宋_GB2312" w:eastAsia="仿宋_GB2312"/>
              </w:rPr>
              <w:t>根据现场配置管理人员（包括项目负责人、技术负责人、施工员、质检员、材料员、预算员、资料员等人员）基本情况、机构设置、班子配备的齐备、完整、合理程度，进行综合评定，按优、良、平三个等级分别得3分、2分、1分；（磋商响应文件中需附人员相关证书彩色扫描件，不提供或不齐全不计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投标人近三年（2021年1月至今）有类似工程经验的有一项得3分，最多得9分。（注：类似工程是指水利工程，磋商响应文件中需附中标通知书或合同彩色扫描件，不提供或不齐全不计分）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投标人获得有效期内的质量管理体系认证、职业健康安全管理体系认证、环境管理体系认证的，有一个得1分，最多得3分。（磋商响应文件中需附证书彩色扫描件，不提供或不齐全不计分）。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绿色建材认证证书</w:t>
            </w:r>
          </w:p>
        </w:tc>
        <w:tc>
          <w:tcPr>
            <w:tcW w:type="dxa" w:w="3115"/>
          </w:tcPr>
          <w:p>
            <w:pPr>
              <w:pStyle w:val="null5"/>
              <w:jc w:val="left"/>
            </w:pPr>
            <w:r>
              <w:rPr>
                <w:rFonts w:ascii="仿宋_GB2312" w:hAnsi="仿宋_GB2312" w:cs="仿宋_GB2312" w:eastAsia="仿宋_GB2312"/>
              </w:rPr>
              <w:t>施工过程中使用的建材具有绿色建材认证证书的，得1分，否则不得分。（评审时需提供证书原件扫描件或网站公示截图，未提供或提供不齐全或扫描件不清晰无法辨认的不得分）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