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包头市土默特右旗矿区总体规划、环境影响评价及水资源论证报告</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土默特右旗发展和改革委员会</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内蒙古金诺项目管理有限公司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BTZCTYS-G-F-250009</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内蒙古金诺项目管理有限公司</w:t>
      </w:r>
      <w:r>
        <w:rPr>
          <w:rFonts w:ascii="仿宋_GB2312" w:hAnsi="仿宋_GB2312" w:cs="仿宋_GB2312" w:eastAsia="仿宋_GB2312"/>
        </w:rPr>
        <w:t xml:space="preserve"> 受 </w:t>
      </w:r>
      <w:r>
        <w:rPr>
          <w:rFonts w:ascii="仿宋_GB2312" w:hAnsi="仿宋_GB2312" w:cs="仿宋_GB2312" w:eastAsia="仿宋_GB2312"/>
        </w:rPr>
        <w:t>土默特右旗发展和改革委员会</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包头市土默特右旗矿区总体规划、环境影响评价及水资源论证报告</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包头市土默特右旗矿区总体规划、环境影响评价及水资源论证报告</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BTZCTYS-G-F-250009</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包政采计划[2025]土右00163</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包头市土默特右旗矿区总体规划、环境影响评价及水资源论证报告</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4,000,000.00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1、特定资格要求：供应商必须具备行政主管部门颁发的工程咨询甲级资信证书（煤炭）及工程设计煤炭行业甲级资质，总规项目负责人具 有采矿专业高级工程师职称及咨询工程师职业资格，环评项目负责人具有注册环评工程师证书及环保专业高级工程师职称</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内蒙古金诺项目管理有限公司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内蒙古自治区包头市昆都仑区包头市昆都仑区包头乐园东门南200米处2号楼三层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内蒙古金诺项目管理有限公司</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0472-2799716</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土默特右旗发展和改革委员会</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土右旗党政综合大楼0957</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014100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苑凌岳</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8809519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代理服务费收费标准：以中标金额为基数按1.5%收取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土默特右旗发展和改革委员会</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内蒙古金诺项目管理有限公司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审查投标人提供2023年度或2022年度经会计师事务所或审计机构出具的财务审计报告或银行出具的近一年内的银行资信证明或声明函，以上形式的证明资料提供任何一种即可</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提供递交投标文件截止之日前一年内（至少一个月）的良好缴纳税收的相关凭据（以税务机关提供的纳税凭据或银行入账单为准）以及缴纳社会保险的凭证（以专用收据或社会保险缴纳清单为准）（注：其他组织和自然人也需要提供缴纳税收的凭据金额缴纳社保的凭据。依法免税或不需要缴纳社会保障资金的投标人，应提供相应文件证明其依法免税或不需要缴纳社会保障资金）或承诺书</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供应商必须具备行政主管部门颁发的工程咨询甲级资信证书（煤炭）及工程设计煤炭行业甲级资质，总规项目负责人具 有采矿专业高级工程师职称及咨询工程师职业资格，环评项目负责人具有注册环评工程师证书及环保专业高级工程师职称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sz w:val="14"/>
          <w:color w:val="000000"/>
        </w:rPr>
        <w:t>项目概况：</w:t>
      </w:r>
      <w:r>
        <w:rPr>
          <w:rFonts w:ascii="仿宋_GB2312" w:hAnsi="仿宋_GB2312" w:cs="仿宋_GB2312" w:eastAsia="仿宋_GB2312"/>
          <w:sz w:val="14"/>
          <w:color w:val="000000"/>
        </w:rPr>
        <w:t>包头市</w:t>
      </w:r>
      <w:r>
        <w:rPr>
          <w:rFonts w:ascii="仿宋_GB2312" w:hAnsi="仿宋_GB2312" w:cs="仿宋_GB2312" w:eastAsia="仿宋_GB2312"/>
          <w:sz w:val="14"/>
          <w:color w:val="000000"/>
        </w:rPr>
        <w:t>土默特右旗</w:t>
      </w:r>
      <w:r>
        <w:rPr>
          <w:rFonts w:ascii="仿宋_GB2312" w:hAnsi="仿宋_GB2312" w:cs="仿宋_GB2312" w:eastAsia="仿宋_GB2312"/>
          <w:sz w:val="14"/>
          <w:color w:val="000000"/>
        </w:rPr>
        <w:t>矿区位于大青山煤田中部偏西，地处包头市境内，行政区划隶属包头市</w:t>
      </w:r>
      <w:r>
        <w:rPr>
          <w:rFonts w:ascii="仿宋_GB2312" w:hAnsi="仿宋_GB2312" w:cs="仿宋_GB2312" w:eastAsia="仿宋_GB2312"/>
          <w:sz w:val="14"/>
          <w:color w:val="000000"/>
        </w:rPr>
        <w:t>土默特右旗</w:t>
      </w:r>
      <w:r>
        <w:rPr>
          <w:rFonts w:ascii="仿宋_GB2312" w:hAnsi="仿宋_GB2312" w:cs="仿宋_GB2312" w:eastAsia="仿宋_GB2312"/>
          <w:sz w:val="14"/>
          <w:color w:val="000000"/>
        </w:rPr>
        <w:t>管辖</w:t>
      </w:r>
      <w:r>
        <w:rPr>
          <w:rFonts w:ascii="仿宋_GB2312" w:hAnsi="仿宋_GB2312" w:cs="仿宋_GB2312" w:eastAsia="仿宋_GB2312"/>
          <w:sz w:val="14"/>
          <w:color w:val="000000"/>
        </w:rPr>
        <w:t>。按照内蒙古自治区能源局《关于开展煤炭矿区总体规</w:t>
      </w:r>
      <w:r>
        <w:rPr>
          <w:rFonts w:ascii="仿宋_GB2312" w:hAnsi="仿宋_GB2312" w:cs="仿宋_GB2312" w:eastAsia="仿宋_GB2312"/>
          <w:sz w:val="14"/>
          <w:color w:val="000000"/>
        </w:rPr>
        <w:t>划修编及规</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划环评工作的通知》（内蒙煤开字</w:t>
      </w:r>
      <w:r>
        <w:rPr>
          <w:rFonts w:ascii="仿宋_GB2312" w:hAnsi="仿宋_GB2312" w:cs="仿宋_GB2312" w:eastAsia="仿宋_GB2312"/>
          <w:sz w:val="14"/>
          <w:color w:val="000000"/>
        </w:rPr>
        <w:t>[2023]34</w:t>
      </w:r>
      <w:r>
        <w:rPr>
          <w:rFonts w:ascii="仿宋_GB2312" w:hAnsi="仿宋_GB2312" w:cs="仿宋_GB2312" w:eastAsia="仿宋_GB2312"/>
          <w:sz w:val="14"/>
          <w:color w:val="000000"/>
        </w:rPr>
        <w:t>9</w:t>
      </w:r>
      <w:r>
        <w:rPr>
          <w:rFonts w:ascii="仿宋_GB2312" w:hAnsi="仿宋_GB2312" w:cs="仿宋_GB2312" w:eastAsia="仿宋_GB2312"/>
          <w:sz w:val="14"/>
          <w:color w:val="000000"/>
        </w:rPr>
        <w:t>号）文件要求，包头市</w:t>
      </w:r>
      <w:r>
        <w:rPr>
          <w:rFonts w:ascii="仿宋_GB2312" w:hAnsi="仿宋_GB2312" w:cs="仿宋_GB2312" w:eastAsia="仿宋_GB2312"/>
          <w:sz w:val="14"/>
          <w:color w:val="000000"/>
        </w:rPr>
        <w:t>土默特右旗</w:t>
      </w:r>
      <w:r>
        <w:rPr>
          <w:rFonts w:ascii="仿宋_GB2312" w:hAnsi="仿宋_GB2312" w:cs="仿宋_GB2312" w:eastAsia="仿宋_GB2312"/>
          <w:sz w:val="14"/>
          <w:color w:val="000000"/>
        </w:rPr>
        <w:t>发展和改革委员会为振兴</w:t>
      </w:r>
      <w:r>
        <w:rPr>
          <w:rFonts w:ascii="仿宋_GB2312" w:hAnsi="仿宋_GB2312" w:cs="仿宋_GB2312" w:eastAsia="仿宋_GB2312"/>
          <w:sz w:val="14"/>
          <w:color w:val="000000"/>
        </w:rPr>
        <w:t>土默特右旗</w:t>
      </w:r>
      <w:r>
        <w:rPr>
          <w:rFonts w:ascii="仿宋_GB2312" w:hAnsi="仿宋_GB2312" w:cs="仿宋_GB2312" w:eastAsia="仿宋_GB2312"/>
          <w:sz w:val="14"/>
          <w:color w:val="000000"/>
        </w:rPr>
        <w:t>经济，盘活老旧矿区，需对包头市</w:t>
      </w:r>
      <w:r>
        <w:rPr>
          <w:rFonts w:ascii="仿宋_GB2312" w:hAnsi="仿宋_GB2312" w:cs="仿宋_GB2312" w:eastAsia="仿宋_GB2312"/>
          <w:sz w:val="14"/>
          <w:color w:val="000000"/>
        </w:rPr>
        <w:t>土默特右旗</w:t>
      </w:r>
      <w:r>
        <w:rPr>
          <w:rFonts w:ascii="仿宋_GB2312" w:hAnsi="仿宋_GB2312" w:cs="仿宋_GB2312" w:eastAsia="仿宋_GB2312"/>
          <w:sz w:val="14"/>
          <w:color w:val="000000"/>
        </w:rPr>
        <w:t>进行总体规划进</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行编制。</w:t>
      </w:r>
    </w:p>
    <w:p>
      <w:pPr>
        <w:pStyle w:val="null5"/>
        <w:spacing w:before="15"/>
        <w:ind w:left="300"/>
        <w:jc w:val="left"/>
      </w:pPr>
      <w:r>
        <w:rPr>
          <w:rFonts w:ascii="仿宋_GB2312" w:hAnsi="仿宋_GB2312" w:cs="仿宋_GB2312" w:eastAsia="仿宋_GB2312"/>
          <w:sz w:val="14"/>
          <w:color w:val="000000"/>
        </w:rPr>
        <w:t>一、项目名称：</w:t>
      </w:r>
      <w:r>
        <w:rPr>
          <w:rFonts w:ascii="仿宋_GB2312" w:hAnsi="仿宋_GB2312" w:cs="仿宋_GB2312" w:eastAsia="仿宋_GB2312"/>
          <w:sz w:val="14"/>
          <w:color w:val="000000"/>
        </w:rPr>
        <w:t>包头市土默特右旗矿区总体规划、环境影响评价及水资源论证报告</w:t>
      </w:r>
    </w:p>
    <w:p>
      <w:pPr>
        <w:pStyle w:val="null5"/>
        <w:spacing w:before="15"/>
        <w:ind w:left="300"/>
        <w:jc w:val="left"/>
      </w:pPr>
      <w:r>
        <w:rPr>
          <w:rFonts w:ascii="仿宋_GB2312" w:hAnsi="仿宋_GB2312" w:cs="仿宋_GB2312" w:eastAsia="仿宋_GB2312"/>
          <w:sz w:val="14"/>
          <w:color w:val="000000"/>
        </w:rPr>
        <w:t>二、编制周期：</w:t>
      </w:r>
      <w:r>
        <w:rPr>
          <w:rFonts w:ascii="仿宋_GB2312" w:hAnsi="仿宋_GB2312" w:cs="仿宋_GB2312" w:eastAsia="仿宋_GB2312"/>
          <w:sz w:val="14"/>
          <w:color w:val="000000"/>
        </w:rPr>
        <w:t>招标人提供煤炭矿区地质勘察成果总结报告（矿区地质资料汇编）后4个月内提交矿区总体规划、规划环评、水资源论证报告初稿；矿区总体规划环境影响评价、水资源论证报告应在合同签订之日起至2025年11月30日前完成成果文件送审并获得批准，矿区总体规划应在合同签订之日起至2026年1月31日前完成成果文件送审并获得批准</w:t>
      </w:r>
    </w:p>
    <w:p>
      <w:pPr>
        <w:pStyle w:val="null5"/>
        <w:spacing w:before="30"/>
        <w:ind w:left="300"/>
        <w:jc w:val="left"/>
      </w:pPr>
      <w:r>
        <w:rPr>
          <w:rFonts w:ascii="仿宋_GB2312" w:hAnsi="仿宋_GB2312" w:cs="仿宋_GB2312" w:eastAsia="仿宋_GB2312"/>
          <w:sz w:val="14"/>
          <w:color w:val="000000"/>
        </w:rPr>
        <w:t>三、工作内容：</w:t>
      </w:r>
    </w:p>
    <w:p>
      <w:pPr>
        <w:pStyle w:val="null5"/>
        <w:spacing w:before="210"/>
        <w:ind w:left="255"/>
        <w:jc w:val="left"/>
      </w:pPr>
      <w:r>
        <w:rPr>
          <w:rFonts w:ascii="仿宋_GB2312" w:hAnsi="仿宋_GB2312" w:cs="仿宋_GB2312" w:eastAsia="仿宋_GB2312"/>
          <w:sz w:val="14"/>
          <w:color w:val="000000"/>
        </w:rPr>
        <w:t>（</w:t>
      </w:r>
      <w:r>
        <w:rPr>
          <w:rFonts w:ascii="仿宋_GB2312" w:hAnsi="仿宋_GB2312" w:cs="仿宋_GB2312" w:eastAsia="仿宋_GB2312"/>
          <w:sz w:val="14"/>
          <w:color w:val="000000"/>
        </w:rPr>
        <w:t>1</w:t>
      </w:r>
      <w:r>
        <w:rPr>
          <w:rFonts w:ascii="仿宋_GB2312" w:hAnsi="仿宋_GB2312" w:cs="仿宋_GB2312" w:eastAsia="仿宋_GB2312"/>
          <w:sz w:val="14"/>
          <w:color w:val="000000"/>
        </w:rPr>
        <w:t>）矿区总体规划：</w:t>
      </w:r>
    </w:p>
    <w:p>
      <w:pPr>
        <w:pStyle w:val="null5"/>
        <w:spacing w:before="210"/>
        <w:ind w:right="60" w:firstLine="252"/>
        <w:jc w:val="left"/>
      </w:pPr>
      <w:r>
        <w:rPr>
          <w:rFonts w:ascii="仿宋_GB2312" w:hAnsi="仿宋_GB2312" w:cs="仿宋_GB2312" w:eastAsia="仿宋_GB2312"/>
          <w:sz w:val="14"/>
          <w:color w:val="000000"/>
        </w:rPr>
        <w:t>依据现行《煤炭工业矿区总体规划规范》（</w:t>
      </w:r>
      <w:r>
        <w:rPr>
          <w:rFonts w:ascii="仿宋_GB2312" w:hAnsi="仿宋_GB2312" w:cs="仿宋_GB2312" w:eastAsia="仿宋_GB2312"/>
          <w:sz w:val="14"/>
          <w:color w:val="000000"/>
        </w:rPr>
        <w:t>GB</w:t>
      </w:r>
      <w:r>
        <w:rPr>
          <w:rFonts w:ascii="仿宋_GB2312" w:hAnsi="仿宋_GB2312" w:cs="仿宋_GB2312" w:eastAsia="仿宋_GB2312"/>
          <w:sz w:val="14"/>
          <w:color w:val="000000"/>
        </w:rPr>
        <w:t>50465-2008</w:t>
      </w:r>
      <w:r>
        <w:rPr>
          <w:rFonts w:ascii="仿宋_GB2312" w:hAnsi="仿宋_GB2312" w:cs="仿宋_GB2312" w:eastAsia="仿宋_GB2312"/>
          <w:sz w:val="14"/>
          <w:color w:val="000000"/>
        </w:rPr>
        <w:t>）、《煤炭工业矿区总体规划文件编制标准》（</w:t>
      </w:r>
      <w:r>
        <w:rPr>
          <w:rFonts w:ascii="仿宋_GB2312" w:hAnsi="仿宋_GB2312" w:cs="仿宋_GB2312" w:eastAsia="仿宋_GB2312"/>
          <w:sz w:val="14"/>
          <w:color w:val="000000"/>
        </w:rPr>
        <w:t>GBT</w:t>
      </w:r>
      <w:r>
        <w:rPr>
          <w:rFonts w:ascii="仿宋_GB2312" w:hAnsi="仿宋_GB2312" w:cs="仿宋_GB2312" w:eastAsia="仿宋_GB2312"/>
          <w:sz w:val="14"/>
          <w:color w:val="000000"/>
        </w:rPr>
        <w:t>50651-2011</w:t>
      </w:r>
      <w:r>
        <w:rPr>
          <w:rFonts w:ascii="仿宋_GB2312" w:hAnsi="仿宋_GB2312" w:cs="仿宋_GB2312" w:eastAsia="仿宋_GB2312"/>
          <w:sz w:val="14"/>
          <w:color w:val="000000"/>
        </w:rPr>
        <w:t>）、《煤炭矿区总体规划管理暂行</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规定》（国家发改委</w:t>
      </w:r>
      <w:r>
        <w:rPr>
          <w:rFonts w:ascii="仿宋_GB2312" w:hAnsi="仿宋_GB2312" w:cs="仿宋_GB2312" w:eastAsia="仿宋_GB2312"/>
          <w:sz w:val="14"/>
          <w:color w:val="000000"/>
        </w:rPr>
        <w:t>2012</w:t>
      </w:r>
      <w:r>
        <w:rPr>
          <w:rFonts w:ascii="仿宋_GB2312" w:hAnsi="仿宋_GB2312" w:cs="仿宋_GB2312" w:eastAsia="仿宋_GB2312"/>
          <w:sz w:val="14"/>
          <w:color w:val="000000"/>
        </w:rPr>
        <w:t>年第</w:t>
      </w:r>
      <w:r>
        <w:rPr>
          <w:rFonts w:ascii="仿宋_GB2312" w:hAnsi="仿宋_GB2312" w:cs="仿宋_GB2312" w:eastAsia="仿宋_GB2312"/>
          <w:sz w:val="14"/>
          <w:color w:val="000000"/>
        </w:rPr>
        <w:t>14</w:t>
      </w:r>
      <w:r>
        <w:rPr>
          <w:rFonts w:ascii="仿宋_GB2312" w:hAnsi="仿宋_GB2312" w:cs="仿宋_GB2312" w:eastAsia="仿宋_GB2312"/>
          <w:sz w:val="14"/>
          <w:color w:val="000000"/>
        </w:rPr>
        <w:t>号令）、《生态环境部国家发展和改革委员会国家能源局关于进一步加强煤炭资源开发环境影响评价管</w:t>
      </w:r>
      <w:r>
        <w:rPr>
          <w:rFonts w:ascii="仿宋_GB2312" w:hAnsi="仿宋_GB2312" w:cs="仿宋_GB2312" w:eastAsia="仿宋_GB2312"/>
          <w:sz w:val="14"/>
          <w:color w:val="000000"/>
        </w:rPr>
        <w:t>理的通知》（环环评</w:t>
      </w:r>
      <w:r>
        <w:rPr>
          <w:rFonts w:ascii="仿宋_GB2312" w:hAnsi="仿宋_GB2312" w:cs="仿宋_GB2312" w:eastAsia="仿宋_GB2312"/>
          <w:sz w:val="14"/>
          <w:color w:val="000000"/>
        </w:rPr>
        <w:t>〔</w:t>
      </w:r>
      <w:r>
        <w:rPr>
          <w:rFonts w:ascii="仿宋_GB2312" w:hAnsi="仿宋_GB2312" w:cs="仿宋_GB2312" w:eastAsia="仿宋_GB2312"/>
          <w:sz w:val="14"/>
          <w:color w:val="000000"/>
        </w:rPr>
        <w:t>2020</w:t>
      </w:r>
      <w:r>
        <w:rPr>
          <w:rFonts w:ascii="仿宋_GB2312" w:hAnsi="仿宋_GB2312" w:cs="仿宋_GB2312" w:eastAsia="仿宋_GB2312"/>
          <w:sz w:val="14"/>
          <w:color w:val="000000"/>
        </w:rPr>
        <w:t>〕</w:t>
      </w:r>
      <w:r>
        <w:rPr>
          <w:rFonts w:ascii="仿宋_GB2312" w:hAnsi="仿宋_GB2312" w:cs="仿宋_GB2312" w:eastAsia="仿宋_GB2312"/>
          <w:sz w:val="14"/>
          <w:color w:val="000000"/>
        </w:rPr>
        <w:t>63</w:t>
      </w:r>
      <w:r>
        <w:rPr>
          <w:rFonts w:ascii="仿宋_GB2312" w:hAnsi="仿宋_GB2312" w:cs="仿宋_GB2312" w:eastAsia="仿宋_GB2312"/>
          <w:sz w:val="14"/>
          <w:color w:val="000000"/>
        </w:rPr>
        <w:t>号）等现行法规、产业政策及煤炭工业规程、规范、</w:t>
      </w:r>
      <w:r>
        <w:rPr>
          <w:rFonts w:ascii="仿宋_GB2312" w:hAnsi="仿宋_GB2312" w:cs="仿宋_GB2312" w:eastAsia="仿宋_GB2312"/>
          <w:sz w:val="14"/>
          <w:color w:val="000000"/>
        </w:rPr>
        <w:t>标准及有关文件等编制矿区煤炭总体规划书</w:t>
      </w:r>
      <w:r>
        <w:rPr>
          <w:rFonts w:ascii="仿宋_GB2312" w:hAnsi="仿宋_GB2312" w:cs="仿宋_GB2312" w:eastAsia="仿宋_GB2312"/>
          <w:sz w:val="14"/>
          <w:color w:val="000000"/>
        </w:rPr>
        <w:t>,</w:t>
      </w:r>
      <w:r>
        <w:rPr>
          <w:rFonts w:ascii="仿宋_GB2312" w:hAnsi="仿宋_GB2312" w:cs="仿宋_GB2312" w:eastAsia="仿宋_GB2312"/>
          <w:sz w:val="14"/>
          <w:color w:val="000000"/>
        </w:rPr>
        <w:t>配合采购人取得审批部门组织的评估</w:t>
      </w:r>
      <w:r>
        <w:rPr>
          <w:rFonts w:ascii="仿宋_GB2312" w:hAnsi="仿宋_GB2312" w:cs="仿宋_GB2312" w:eastAsia="仿宋_GB2312"/>
          <w:sz w:val="1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并根据专家组提出</w:t>
      </w:r>
      <w:r>
        <w:rPr>
          <w:rFonts w:ascii="仿宋_GB2312" w:hAnsi="仿宋_GB2312" w:cs="仿宋_GB2312" w:eastAsia="仿宋_GB2312"/>
          <w:sz w:val="14"/>
          <w:color w:val="000000"/>
        </w:rPr>
        <w:t>的意见和建议及时修订总体规划</w:t>
      </w:r>
      <w:r>
        <w:rPr>
          <w:rFonts w:ascii="仿宋_GB2312" w:hAnsi="仿宋_GB2312" w:cs="仿宋_GB2312" w:eastAsia="仿宋_GB2312"/>
          <w:sz w:val="14"/>
          <w:color w:val="000000"/>
        </w:rPr>
        <w:t>,</w:t>
      </w:r>
      <w:r>
        <w:rPr>
          <w:rFonts w:ascii="仿宋_GB2312" w:hAnsi="仿宋_GB2312" w:cs="仿宋_GB2312" w:eastAsia="仿宋_GB2312"/>
          <w:sz w:val="14"/>
          <w:color w:val="000000"/>
        </w:rPr>
        <w:t>取得内蒙古自治区能源局的批复。</w:t>
      </w:r>
      <w:r>
        <w:rPr>
          <w:rFonts w:ascii="仿宋_GB2312" w:hAnsi="仿宋_GB2312" w:cs="仿宋_GB2312" w:eastAsia="仿宋_GB2312"/>
          <w:sz w:val="14"/>
          <w:color w:val="000000"/>
        </w:rPr>
        <w:t>编制单位要熟悉矿区现状</w:t>
      </w:r>
      <w:r>
        <w:rPr>
          <w:rFonts w:ascii="仿宋_GB2312" w:hAnsi="仿宋_GB2312" w:cs="仿宋_GB2312" w:eastAsia="仿宋_GB2312"/>
          <w:sz w:val="14"/>
          <w:color w:val="000000"/>
        </w:rPr>
        <w:t>,</w:t>
      </w:r>
      <w:r>
        <w:rPr>
          <w:rFonts w:ascii="仿宋_GB2312" w:hAnsi="仿宋_GB2312" w:cs="仿宋_GB2312" w:eastAsia="仿宋_GB2312"/>
          <w:sz w:val="14"/>
          <w:color w:val="000000"/>
        </w:rPr>
        <w:t>报告书回顾性评价内容要全面详实，在对矿区进行充分调查的基础上，从对本项目的重点、难点及关键性技术问题的分析与对策措施等方</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面进行评价。</w:t>
      </w:r>
    </w:p>
    <w:p>
      <w:pPr>
        <w:pStyle w:val="null5"/>
        <w:spacing w:before="30"/>
        <w:ind w:left="255"/>
        <w:jc w:val="left"/>
      </w:pPr>
      <w:r>
        <w:rPr>
          <w:rFonts w:ascii="仿宋_GB2312" w:hAnsi="仿宋_GB2312" w:cs="仿宋_GB2312" w:eastAsia="仿宋_GB2312"/>
          <w:sz w:val="14"/>
          <w:color w:val="000000"/>
        </w:rPr>
        <w:t>（</w:t>
      </w:r>
      <w:r>
        <w:rPr>
          <w:rFonts w:ascii="仿宋_GB2312" w:hAnsi="仿宋_GB2312" w:cs="仿宋_GB2312" w:eastAsia="仿宋_GB2312"/>
          <w:sz w:val="14"/>
          <w:color w:val="000000"/>
        </w:rPr>
        <w:t>2</w:t>
      </w:r>
      <w:r>
        <w:rPr>
          <w:rFonts w:ascii="仿宋_GB2312" w:hAnsi="仿宋_GB2312" w:cs="仿宋_GB2312" w:eastAsia="仿宋_GB2312"/>
          <w:sz w:val="14"/>
          <w:color w:val="000000"/>
        </w:rPr>
        <w:t>）规划环评：</w:t>
      </w:r>
    </w:p>
    <w:p>
      <w:pPr>
        <w:pStyle w:val="null5"/>
        <w:spacing w:before="210"/>
        <w:ind w:firstLine="257"/>
        <w:jc w:val="both"/>
      </w:pPr>
      <w:r>
        <w:rPr>
          <w:rFonts w:ascii="仿宋_GB2312" w:hAnsi="仿宋_GB2312" w:cs="仿宋_GB2312" w:eastAsia="仿宋_GB2312"/>
          <w:sz w:val="14"/>
          <w:color w:val="000000"/>
        </w:rPr>
        <w:t>①</w:t>
      </w:r>
      <w:r>
        <w:rPr>
          <w:rFonts w:ascii="仿宋_GB2312" w:hAnsi="仿宋_GB2312" w:cs="仿宋_GB2312" w:eastAsia="仿宋_GB2312"/>
          <w:sz w:val="14"/>
          <w:color w:val="000000"/>
        </w:rPr>
        <w:t>严格按照《中华人民共和国环境影响评价法》、《规划环境影响评价条例》及《规划环境影响评价技术导则总纲》（</w:t>
      </w:r>
      <w:r>
        <w:rPr>
          <w:rFonts w:ascii="仿宋_GB2312" w:hAnsi="仿宋_GB2312" w:cs="仿宋_GB2312" w:eastAsia="仿宋_GB2312"/>
          <w:sz w:val="14"/>
          <w:color w:val="000000"/>
        </w:rPr>
        <w:t>HJ</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130-2019</w:t>
      </w:r>
      <w:r>
        <w:rPr>
          <w:rFonts w:ascii="仿宋_GB2312" w:hAnsi="仿宋_GB2312" w:cs="仿宋_GB2312" w:eastAsia="仿宋_GB2312"/>
          <w:sz w:val="14"/>
          <w:color w:val="000000"/>
        </w:rPr>
        <w:t>）编制</w:t>
      </w:r>
      <w:r>
        <w:rPr>
          <w:rFonts w:ascii="仿宋_GB2312" w:hAnsi="仿宋_GB2312" w:cs="仿宋_GB2312" w:eastAsia="仿宋_GB2312"/>
          <w:sz w:val="14"/>
          <w:color w:val="000000"/>
        </w:rPr>
        <w:t>环境影响报告书，报告</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书内容应符合并达到</w:t>
      </w:r>
      <w:r>
        <w:rPr>
          <w:rFonts w:ascii="仿宋_GB2312" w:hAnsi="仿宋_GB2312" w:cs="仿宋_GB2312" w:eastAsia="仿宋_GB2312"/>
          <w:sz w:val="14"/>
          <w:color w:val="000000"/>
        </w:rPr>
        <w:t>内蒙古自治区生态环境厅及水利厅</w:t>
      </w:r>
      <w:r>
        <w:rPr>
          <w:rFonts w:ascii="仿宋_GB2312" w:hAnsi="仿宋_GB2312" w:cs="仿宋_GB2312" w:eastAsia="仿宋_GB2312"/>
          <w:sz w:val="14"/>
          <w:color w:val="000000"/>
        </w:rPr>
        <w:t>对编制矿区总体规划环评报告所要求的内容和深度；</w:t>
      </w:r>
      <w:r>
        <w:rPr>
          <w:rFonts w:ascii="仿宋_GB2312" w:hAnsi="仿宋_GB2312" w:cs="仿宋_GB2312" w:eastAsia="仿宋_GB2312"/>
          <w:sz w:val="14"/>
          <w:color w:val="000000"/>
        </w:rPr>
        <w:t>②</w:t>
      </w:r>
      <w:r>
        <w:rPr>
          <w:rFonts w:ascii="仿宋_GB2312" w:hAnsi="仿宋_GB2312" w:cs="仿宋_GB2312" w:eastAsia="仿宋_GB2312"/>
          <w:sz w:val="14"/>
          <w:color w:val="000000"/>
        </w:rPr>
        <w:t>编制单位要熟悉矿区现状</w:t>
      </w:r>
      <w:r>
        <w:rPr>
          <w:rFonts w:ascii="仿宋_GB2312" w:hAnsi="仿宋_GB2312" w:cs="仿宋_GB2312" w:eastAsia="仿宋_GB2312"/>
          <w:sz w:val="14"/>
          <w:color w:val="000000"/>
        </w:rPr>
        <w:t>,</w:t>
      </w:r>
      <w:r>
        <w:rPr>
          <w:rFonts w:ascii="仿宋_GB2312" w:hAnsi="仿宋_GB2312" w:cs="仿宋_GB2312" w:eastAsia="仿宋_GB2312"/>
          <w:sz w:val="14"/>
          <w:color w:val="000000"/>
        </w:rPr>
        <w:t>报告书回顾性评价内容要全面详实</w:t>
      </w:r>
      <w:r>
        <w:rPr>
          <w:rFonts w:ascii="仿宋_GB2312" w:hAnsi="仿宋_GB2312" w:cs="仿宋_GB2312" w:eastAsia="仿宋_GB2312"/>
          <w:sz w:val="14"/>
          <w:color w:val="000000"/>
        </w:rPr>
        <w:t>，在对</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矿区所在区域环境概况进行充分调查的基础上，摸清矿区开发现状及其造成的生态环境影响情况，对存在的生态环境问题提出相应的对策措施。从对本项目</w:t>
      </w:r>
      <w:r>
        <w:rPr>
          <w:rFonts w:ascii="仿宋_GB2312" w:hAnsi="仿宋_GB2312" w:cs="仿宋_GB2312" w:eastAsia="仿宋_GB2312"/>
          <w:sz w:val="14"/>
          <w:color w:val="000000"/>
        </w:rPr>
        <w:t>的重点、难</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点及关键性技术问题的分析与对策措施等方面进行评价。</w:t>
      </w:r>
      <w:r>
        <w:rPr>
          <w:rFonts w:ascii="仿宋_GB2312" w:hAnsi="仿宋_GB2312" w:cs="仿宋_GB2312" w:eastAsia="仿宋_GB2312"/>
          <w:sz w:val="14"/>
          <w:color w:val="000000"/>
        </w:rPr>
        <w:t>③</w:t>
      </w:r>
      <w:r>
        <w:rPr>
          <w:rFonts w:ascii="仿宋_GB2312" w:hAnsi="仿宋_GB2312" w:cs="仿宋_GB2312" w:eastAsia="仿宋_GB2312"/>
          <w:sz w:val="14"/>
          <w:color w:val="000000"/>
        </w:rPr>
        <w:t>环境影响报告中的各项基础资料应使用的数据要详实可靠，环境影响报告书内容要实</w:t>
      </w:r>
      <w:r>
        <w:rPr>
          <w:rFonts w:ascii="仿宋_GB2312" w:hAnsi="仿宋_GB2312" w:cs="仿宋_GB2312" w:eastAsia="仿宋_GB2312"/>
          <w:sz w:val="14"/>
          <w:color w:val="000000"/>
        </w:rPr>
        <w:t>事求是、条理清楚、科</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学合理，对可能出现的问题</w:t>
      </w:r>
      <w:r>
        <w:rPr>
          <w:rFonts w:ascii="仿宋_GB2312" w:hAnsi="仿宋_GB2312" w:cs="仿宋_GB2312" w:eastAsia="仿宋_GB2312"/>
          <w:sz w:val="14"/>
          <w:color w:val="000000"/>
        </w:rPr>
        <w:t>,</w:t>
      </w:r>
      <w:r>
        <w:rPr>
          <w:rFonts w:ascii="仿宋_GB2312" w:hAnsi="仿宋_GB2312" w:cs="仿宋_GB2312" w:eastAsia="仿宋_GB2312"/>
          <w:sz w:val="14"/>
          <w:color w:val="000000"/>
        </w:rPr>
        <w:t>提出具体可行的解决方案</w:t>
      </w:r>
      <w:r>
        <w:rPr>
          <w:rFonts w:ascii="仿宋_GB2312" w:hAnsi="仿宋_GB2312" w:cs="仿宋_GB2312" w:eastAsia="仿宋_GB2312"/>
          <w:sz w:val="14"/>
          <w:color w:val="000000"/>
        </w:rPr>
        <w:t>,</w:t>
      </w:r>
      <w:r>
        <w:rPr>
          <w:rFonts w:ascii="仿宋_GB2312" w:hAnsi="仿宋_GB2312" w:cs="仿宋_GB2312" w:eastAsia="仿宋_GB2312"/>
          <w:sz w:val="14"/>
          <w:color w:val="000000"/>
        </w:rPr>
        <w:t>评价结论要客观公正。</w:t>
      </w:r>
    </w:p>
    <w:p>
      <w:pPr>
        <w:pStyle w:val="null5"/>
        <w:spacing w:before="45"/>
        <w:ind w:left="315"/>
        <w:jc w:val="left"/>
      </w:pPr>
      <w:r>
        <w:rPr>
          <w:rFonts w:ascii="仿宋_GB2312" w:hAnsi="仿宋_GB2312" w:cs="仿宋_GB2312" w:eastAsia="仿宋_GB2312"/>
          <w:sz w:val="14"/>
          <w:color w:val="000000"/>
        </w:rPr>
        <w:t>四、编制依据：</w:t>
      </w:r>
    </w:p>
    <w:p>
      <w:pPr>
        <w:pStyle w:val="null5"/>
        <w:spacing w:before="210"/>
        <w:ind w:left="255"/>
        <w:jc w:val="left"/>
      </w:pPr>
      <w:r>
        <w:rPr>
          <w:rFonts w:ascii="仿宋_GB2312" w:hAnsi="仿宋_GB2312" w:cs="仿宋_GB2312" w:eastAsia="仿宋_GB2312"/>
          <w:sz w:val="14"/>
          <w:color w:val="000000"/>
        </w:rPr>
        <w:t>（</w:t>
      </w:r>
      <w:r>
        <w:rPr>
          <w:rFonts w:ascii="仿宋_GB2312" w:hAnsi="仿宋_GB2312" w:cs="仿宋_GB2312" w:eastAsia="仿宋_GB2312"/>
          <w:sz w:val="14"/>
          <w:color w:val="000000"/>
        </w:rPr>
        <w:t>1</w:t>
      </w:r>
      <w:r>
        <w:rPr>
          <w:rFonts w:ascii="仿宋_GB2312" w:hAnsi="仿宋_GB2312" w:cs="仿宋_GB2312" w:eastAsia="仿宋_GB2312"/>
          <w:sz w:val="14"/>
          <w:color w:val="000000"/>
        </w:rPr>
        <w:t>）矿区总体规划：</w:t>
      </w:r>
    </w:p>
    <w:p>
      <w:pPr>
        <w:pStyle w:val="null5"/>
        <w:spacing w:before="210"/>
        <w:ind w:right="90" w:firstLine="252"/>
        <w:jc w:val="left"/>
      </w:pPr>
      <w:r>
        <w:rPr>
          <w:rFonts w:ascii="仿宋_GB2312" w:hAnsi="仿宋_GB2312" w:cs="仿宋_GB2312" w:eastAsia="仿宋_GB2312"/>
          <w:sz w:val="14"/>
          <w:color w:val="000000"/>
        </w:rPr>
        <w:t>编制煤炭矿区总体规划应当坚持生态优先、绿色发展、合理布局、有序开发、规模生产、综合利用</w:t>
      </w:r>
      <w:r>
        <w:rPr>
          <w:rFonts w:ascii="仿宋_GB2312" w:hAnsi="仿宋_GB2312" w:cs="仿宋_GB2312" w:eastAsia="仿宋_GB2312"/>
          <w:sz w:val="14"/>
          <w:color w:val="000000"/>
        </w:rPr>
        <w:t>的原则，矿区总体规划编制工作要符合国家法律、法规、标准、</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规范等有关规定，符合自治区煤炭工业高质量发展的要求，符合内蒙古自治区国土空间规划、</w:t>
      </w:r>
      <w:r>
        <w:rPr>
          <w:rFonts w:ascii="仿宋_GB2312" w:hAnsi="仿宋_GB2312" w:cs="仿宋_GB2312" w:eastAsia="仿宋_GB2312"/>
          <w:sz w:val="14"/>
          <w:color w:val="000000"/>
        </w:rPr>
        <w:t>“</w:t>
      </w:r>
      <w:r>
        <w:rPr>
          <w:rFonts w:ascii="仿宋_GB2312" w:hAnsi="仿宋_GB2312" w:cs="仿宋_GB2312" w:eastAsia="仿宋_GB2312"/>
          <w:sz w:val="14"/>
          <w:color w:val="000000"/>
        </w:rPr>
        <w:t>三区三线</w:t>
      </w:r>
      <w:r>
        <w:rPr>
          <w:rFonts w:ascii="仿宋_GB2312" w:hAnsi="仿宋_GB2312" w:cs="仿宋_GB2312" w:eastAsia="仿宋_GB2312"/>
          <w:sz w:val="14"/>
          <w:color w:val="000000"/>
        </w:rPr>
        <w:t>”</w:t>
      </w:r>
      <w:r>
        <w:rPr>
          <w:rFonts w:ascii="仿宋_GB2312" w:hAnsi="仿宋_GB2312" w:cs="仿宋_GB2312" w:eastAsia="仿宋_GB2312"/>
          <w:sz w:val="14"/>
          <w:color w:val="000000"/>
        </w:rPr>
        <w:t>等管控新要求。</w:t>
      </w:r>
      <w:r>
        <w:rPr>
          <w:rFonts w:ascii="仿宋_GB2312" w:hAnsi="仿宋_GB2312" w:cs="仿宋_GB2312" w:eastAsia="仿宋_GB2312"/>
          <w:sz w:val="14"/>
          <w:color w:val="000000"/>
        </w:rPr>
        <w:t>编制依据、标准，均以现行文件为准，包括但不限于以下文件：《煤炭矿区总体规划管理暂行规定》（国家发改委</w:t>
      </w:r>
      <w:r>
        <w:rPr>
          <w:rFonts w:ascii="仿宋_GB2312" w:hAnsi="仿宋_GB2312" w:cs="仿宋_GB2312" w:eastAsia="仿宋_GB2312"/>
          <w:sz w:val="14"/>
          <w:color w:val="000000"/>
        </w:rPr>
        <w:t>2012</w:t>
      </w:r>
      <w:r>
        <w:rPr>
          <w:rFonts w:ascii="仿宋_GB2312" w:hAnsi="仿宋_GB2312" w:cs="仿宋_GB2312" w:eastAsia="仿宋_GB2312"/>
          <w:sz w:val="14"/>
          <w:color w:val="000000"/>
        </w:rPr>
        <w:t>年第</w:t>
      </w:r>
      <w:r>
        <w:rPr>
          <w:rFonts w:ascii="仿宋_GB2312" w:hAnsi="仿宋_GB2312" w:cs="仿宋_GB2312" w:eastAsia="仿宋_GB2312"/>
          <w:sz w:val="14"/>
          <w:color w:val="000000"/>
        </w:rPr>
        <w:t>14</w:t>
      </w:r>
      <w:r>
        <w:rPr>
          <w:rFonts w:ascii="仿宋_GB2312" w:hAnsi="仿宋_GB2312" w:cs="仿宋_GB2312" w:eastAsia="仿宋_GB2312"/>
          <w:sz w:val="14"/>
          <w:color w:val="000000"/>
        </w:rPr>
        <w:t>号令</w:t>
      </w:r>
      <w:r>
        <w:rPr>
          <w:rFonts w:ascii="仿宋_GB2312" w:hAnsi="仿宋_GB2312" w:cs="仿宋_GB2312" w:eastAsia="仿宋_GB2312"/>
          <w:sz w:val="14"/>
          <w:color w:val="000000"/>
        </w:rPr>
        <w:t>）、《内蒙古自治区煤炭管理</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条例》、《生态环境部国家发展和改革委员会国家能源局关于进一步加强煤炭资源开发环境影响评价管理的通知</w:t>
      </w:r>
      <w:r>
        <w:rPr>
          <w:rFonts w:ascii="仿宋_GB2312" w:hAnsi="仿宋_GB2312" w:cs="仿宋_GB2312" w:eastAsia="仿宋_GB2312"/>
          <w:sz w:val="14"/>
          <w:color w:val="000000"/>
        </w:rPr>
        <w:t>》（环环评〔</w:t>
      </w:r>
      <w:r>
        <w:rPr>
          <w:rFonts w:ascii="仿宋_GB2312" w:hAnsi="仿宋_GB2312" w:cs="仿宋_GB2312" w:eastAsia="仿宋_GB2312"/>
          <w:sz w:val="14"/>
          <w:color w:val="000000"/>
        </w:rPr>
        <w:t>2020</w:t>
      </w:r>
      <w:r>
        <w:rPr>
          <w:rFonts w:ascii="仿宋_GB2312" w:hAnsi="仿宋_GB2312" w:cs="仿宋_GB2312" w:eastAsia="仿宋_GB2312"/>
          <w:sz w:val="14"/>
          <w:color w:val="000000"/>
        </w:rPr>
        <w:t>〕</w:t>
      </w:r>
      <w:r>
        <w:rPr>
          <w:rFonts w:ascii="仿宋_GB2312" w:hAnsi="仿宋_GB2312" w:cs="仿宋_GB2312" w:eastAsia="仿宋_GB2312"/>
          <w:sz w:val="14"/>
          <w:color w:val="000000"/>
        </w:rPr>
        <w:t>63</w:t>
      </w:r>
      <w:r>
        <w:rPr>
          <w:rFonts w:ascii="仿宋_GB2312" w:hAnsi="仿宋_GB2312" w:cs="仿宋_GB2312" w:eastAsia="仿宋_GB2312"/>
          <w:sz w:val="14"/>
          <w:color w:val="000000"/>
        </w:rPr>
        <w:t>号）、《煤炭工业矿区总体规</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划规范》（</w:t>
      </w:r>
      <w:r>
        <w:rPr>
          <w:rFonts w:ascii="仿宋_GB2312" w:hAnsi="仿宋_GB2312" w:cs="仿宋_GB2312" w:eastAsia="仿宋_GB2312"/>
          <w:sz w:val="14"/>
          <w:color w:val="000000"/>
        </w:rPr>
        <w:t>GB</w:t>
      </w:r>
      <w:r>
        <w:rPr>
          <w:rFonts w:ascii="仿宋_GB2312" w:hAnsi="仿宋_GB2312" w:cs="仿宋_GB2312" w:eastAsia="仿宋_GB2312"/>
          <w:sz w:val="14"/>
          <w:color w:val="000000"/>
        </w:rPr>
        <w:t>50465-2008</w:t>
      </w:r>
      <w:r>
        <w:rPr>
          <w:rFonts w:ascii="仿宋_GB2312" w:hAnsi="仿宋_GB2312" w:cs="仿宋_GB2312" w:eastAsia="仿宋_GB2312"/>
          <w:sz w:val="14"/>
          <w:color w:val="000000"/>
        </w:rPr>
        <w:t>）、《煤炭工业矿区总体规划文件编制标准》（</w:t>
      </w:r>
      <w:r>
        <w:rPr>
          <w:rFonts w:ascii="仿宋_GB2312" w:hAnsi="仿宋_GB2312" w:cs="仿宋_GB2312" w:eastAsia="仿宋_GB2312"/>
          <w:sz w:val="14"/>
          <w:color w:val="000000"/>
        </w:rPr>
        <w:t>GB</w:t>
      </w:r>
      <w:r>
        <w:rPr>
          <w:rFonts w:ascii="仿宋_GB2312" w:hAnsi="仿宋_GB2312" w:cs="仿宋_GB2312" w:eastAsia="仿宋_GB2312"/>
          <w:sz w:val="14"/>
          <w:color w:val="000000"/>
        </w:rPr>
        <w:t>/T</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50651-2011</w:t>
      </w:r>
      <w:r>
        <w:rPr>
          <w:rFonts w:ascii="仿宋_GB2312" w:hAnsi="仿宋_GB2312" w:cs="仿宋_GB2312" w:eastAsia="仿宋_GB2312"/>
          <w:sz w:val="14"/>
          <w:color w:val="000000"/>
        </w:rPr>
        <w:t>）。</w:t>
      </w:r>
    </w:p>
    <w:p>
      <w:pPr>
        <w:pStyle w:val="null5"/>
        <w:spacing w:before="30"/>
        <w:ind w:left="360"/>
        <w:jc w:val="left"/>
      </w:pPr>
      <w:r>
        <w:rPr>
          <w:rFonts w:ascii="仿宋_GB2312" w:hAnsi="仿宋_GB2312" w:cs="仿宋_GB2312" w:eastAsia="仿宋_GB2312"/>
          <w:sz w:val="14"/>
          <w:color w:val="000000"/>
        </w:rPr>
        <w:t>（</w:t>
      </w:r>
      <w:r>
        <w:rPr>
          <w:rFonts w:ascii="仿宋_GB2312" w:hAnsi="仿宋_GB2312" w:cs="仿宋_GB2312" w:eastAsia="仿宋_GB2312"/>
          <w:sz w:val="14"/>
          <w:color w:val="000000"/>
        </w:rPr>
        <w:t>2</w:t>
      </w:r>
      <w:r>
        <w:rPr>
          <w:rFonts w:ascii="仿宋_GB2312" w:hAnsi="仿宋_GB2312" w:cs="仿宋_GB2312" w:eastAsia="仿宋_GB2312"/>
          <w:sz w:val="14"/>
          <w:color w:val="000000"/>
        </w:rPr>
        <w:t>）规划环评：</w:t>
      </w:r>
    </w:p>
    <w:p>
      <w:pPr>
        <w:pStyle w:val="null5"/>
        <w:spacing w:before="210"/>
        <w:ind w:right="75" w:firstLine="251"/>
        <w:jc w:val="left"/>
      </w:pPr>
      <w:r>
        <w:rPr>
          <w:rFonts w:ascii="仿宋_GB2312" w:hAnsi="仿宋_GB2312" w:cs="仿宋_GB2312" w:eastAsia="仿宋_GB2312"/>
          <w:sz w:val="14"/>
          <w:color w:val="000000"/>
        </w:rPr>
        <w:t>矿区总体规划环境影响评价编制工作要符合国家法律、法规、标准、规范等有</w:t>
      </w:r>
      <w:r>
        <w:rPr>
          <w:rFonts w:ascii="仿宋_GB2312" w:hAnsi="仿宋_GB2312" w:cs="仿宋_GB2312" w:eastAsia="仿宋_GB2312"/>
          <w:sz w:val="14"/>
          <w:color w:val="000000"/>
        </w:rPr>
        <w:t>关规定。依据国土空间规划和生态保护红线、</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自然保护地管理要求等，符合自治区生</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态环境保护和煤炭工业高质量发展的相关要求。</w:t>
      </w:r>
      <w:r>
        <w:rPr>
          <w:rFonts w:ascii="仿宋_GB2312" w:hAnsi="仿宋_GB2312" w:cs="仿宋_GB2312" w:eastAsia="仿宋_GB2312"/>
          <w:sz w:val="14"/>
          <w:color w:val="000000"/>
        </w:rPr>
        <w:t>编制依据、标准，均以现行文件为准，包括但不限于以下文件：《中华人民共和国环境保护法》、《中华人民共和国环境影响评价法》、《规划</w:t>
      </w:r>
      <w:r>
        <w:rPr>
          <w:rFonts w:ascii="仿宋_GB2312" w:hAnsi="仿宋_GB2312" w:cs="仿宋_GB2312" w:eastAsia="仿宋_GB2312"/>
          <w:sz w:val="14"/>
          <w:color w:val="000000"/>
        </w:rPr>
        <w:t>环境影响评价条</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例》《环境影响评价公众参与办法》（生态环境部部令第</w:t>
      </w:r>
      <w:r>
        <w:rPr>
          <w:rFonts w:ascii="仿宋_GB2312" w:hAnsi="仿宋_GB2312" w:cs="仿宋_GB2312" w:eastAsia="仿宋_GB2312"/>
          <w:sz w:val="14"/>
          <w:color w:val="000000"/>
        </w:rPr>
        <w:t>4</w:t>
      </w:r>
      <w:r>
        <w:rPr>
          <w:rFonts w:ascii="仿宋_GB2312" w:hAnsi="仿宋_GB2312" w:cs="仿宋_GB2312" w:eastAsia="仿宋_GB2312"/>
          <w:sz w:val="14"/>
          <w:color w:val="000000"/>
        </w:rPr>
        <w:t>号）《生态环境部国家发展和改革委员会国家能源局关于进一步加强煤炭资源开发环境影响评价管理的通</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知》（环环评〔</w:t>
      </w:r>
      <w:r>
        <w:rPr>
          <w:rFonts w:ascii="仿宋_GB2312" w:hAnsi="仿宋_GB2312" w:cs="仿宋_GB2312" w:eastAsia="仿宋_GB2312"/>
          <w:sz w:val="14"/>
          <w:color w:val="000000"/>
        </w:rPr>
        <w:t>2020</w:t>
      </w:r>
      <w:r>
        <w:rPr>
          <w:rFonts w:ascii="仿宋_GB2312" w:hAnsi="仿宋_GB2312" w:cs="仿宋_GB2312" w:eastAsia="仿宋_GB2312"/>
          <w:sz w:val="14"/>
          <w:color w:val="000000"/>
        </w:rPr>
        <w:t>〕</w:t>
      </w:r>
      <w:r>
        <w:rPr>
          <w:rFonts w:ascii="仿宋_GB2312" w:hAnsi="仿宋_GB2312" w:cs="仿宋_GB2312" w:eastAsia="仿宋_GB2312"/>
          <w:sz w:val="14"/>
          <w:color w:val="000000"/>
        </w:rPr>
        <w:t>63</w:t>
      </w:r>
      <w:r>
        <w:rPr>
          <w:rFonts w:ascii="仿宋_GB2312" w:hAnsi="仿宋_GB2312" w:cs="仿宋_GB2312" w:eastAsia="仿宋_GB2312"/>
          <w:sz w:val="14"/>
          <w:color w:val="000000"/>
        </w:rPr>
        <w:t>号）《规划环境影响评价技术导则总纲》（</w:t>
      </w:r>
      <w:r>
        <w:rPr>
          <w:rFonts w:ascii="仿宋_GB2312" w:hAnsi="仿宋_GB2312" w:cs="仿宋_GB2312" w:eastAsia="仿宋_GB2312"/>
          <w:sz w:val="14"/>
          <w:color w:val="000000"/>
        </w:rPr>
        <w:t>HJ</w:t>
      </w:r>
      <w:r>
        <w:rPr>
          <w:rFonts w:ascii="仿宋_GB2312" w:hAnsi="仿宋_GB2312" w:cs="仿宋_GB2312" w:eastAsia="仿宋_GB2312"/>
          <w:sz w:val="21"/>
          <w:color w:val="000000"/>
        </w:rPr>
        <w:t xml:space="preserve">  </w:t>
      </w:r>
      <w:r>
        <w:rPr>
          <w:rFonts w:ascii="仿宋_GB2312" w:hAnsi="仿宋_GB2312" w:cs="仿宋_GB2312" w:eastAsia="仿宋_GB2312"/>
          <w:sz w:val="14"/>
          <w:color w:val="000000"/>
        </w:rPr>
        <w:t>130-2019</w:t>
      </w:r>
      <w:r>
        <w:rPr>
          <w:rFonts w:ascii="仿宋_GB2312" w:hAnsi="仿宋_GB2312" w:cs="仿宋_GB2312" w:eastAsia="仿宋_GB2312"/>
          <w:sz w:val="14"/>
          <w:color w:val="000000"/>
        </w:rPr>
        <w:t>）。</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招标人提供煤炭矿区地质勘察成果总结报告（矿区地质资料汇编）后4个月内提交矿区总体规划、规划环评、水资源论证报告初稿；矿区总体规划环境影响评价、水资源论证报告应在合同签订之日起至2025年11月30日前完成成果文件送审并获得批准，矿区总体规划应在合同签订之日起至2026年1月31日前完成成果文件送审并获得批准</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包头市土默特右旗发展和改革委员会</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1、具体按实际签订合同为准，达到付款条件起90日，支付合同总金额的30.00%</w:t>
            </w:r>
          </w:p>
          <w:p>
            <w:pPr>
              <w:pStyle w:val="null5"/>
              <w:jc w:val="left"/>
            </w:pPr>
            <w:r>
              <w:rPr>
                <w:rFonts w:ascii="仿宋_GB2312" w:hAnsi="仿宋_GB2312" w:cs="仿宋_GB2312" w:eastAsia="仿宋_GB2312"/>
              </w:rPr>
              <w:t>2、具体按实际签订合同为准，达到付款条件起90日，支付合同总金额的40.00%</w:t>
            </w:r>
          </w:p>
          <w:p>
            <w:pPr>
              <w:pStyle w:val="null5"/>
              <w:jc w:val="left"/>
            </w:pPr>
            <w:r>
              <w:rPr>
                <w:rFonts w:ascii="仿宋_GB2312" w:hAnsi="仿宋_GB2312" w:cs="仿宋_GB2312" w:eastAsia="仿宋_GB2312"/>
              </w:rPr>
              <w:t>3、具体按实际签订合同为准，达到付款条件起90日，支付合同总金额的30.00%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1：验收要求：符合相关行业成果文件要求，总体规划成果文件应符合内蒙古自治区能 源局的质量验收标准，且能够取得内蒙古自治区能源局的批复文件；规划环评 成果文件应符合内蒙古自治区生态环境厅及水利厅的质量验收标准，且能够取得内蒙古自治区生态环境厅的批复文件；</w:t>
              <w:br/>
              <w:t>2：其他要求 : 1、本项目为电子投标，制作投标文件时请到自治区采购网首页自行学 习操作方法（网站上有操作视频），如遇问题无法解决可直接联系软件公司咨 询，技术服务热线电话：400-0471-010 。 2、由于本项目采用电子系统招标 , 招标文件为系统模板，根据具体项目的情况无法准确描述，部分内容只可填 空，不可更改。所以招标文件中有不适用之处，敬请见谅。如有问题，请及时 联系采购代理机构。 3、本项目为远程开标，供应商需提前半小时登录系统签 到，开标时远程解锁、确认。开标时，各供应商必须保证电脑可正常登陆、解 密及签章。本项目设置解密、签章确认时限均为30分钟，如供应商在规定时 间内无法解密或签章，造成废标的，采购人及采购代理机构不承担任何责任。 4、关于纸质投标文件的要求：供应商中标后，须于中标结果公告后提供与电 子投标文件内容完全一致的纸质投标文件3份（用于备案存档）。纸质投标文 件要求由投标文件制作工具直接打印（内容必须完整）、装订后并加盖单位公 章，如与电子版投标文件内容不一致所引起一切法律责任及不良后果，由供应 商自行承担，并记入诚信档案。纸质投标文件中所有要求盖章、签字的地方都 按“招标文件” 中“签字、盖章要求”执行。打印注意事项：纸质投标文件要以胶 装形式牢固装订。按招标文件中格式的顺序装订成册，牢固装订是指装订好的 投标文件不至于在翻阅时散开或用简单的方式将其中一项取出或将其他文件插 入，各种活页装订、打孔式、塑料方便式书脊插入装订的不认为是牢固装订。</w:t>
              <w:br/>
              <w:t>5、合同融资：为支持和促进中小企业发展，切实解决企业融资难问题，包头 市政府采购项目已开通合同融资渠道，供应商中标后可通过中标合同向相关银 行发起无抵押无担保融资申请，银行根据企业中标信息发放贷款，帮助企业解 决融资问题。相关资料可查阅：http：//39.104.85.103/zcdservice/zcd/nei meng</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标的名称：包头市土默特右旗矿区总体规划、环境影响评价及水资源论证报告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spacing w:before="150" w:after="150"/>
              <w:jc w:val="left"/>
            </w:pPr>
            <w:r>
              <w:rPr>
                <w:rFonts w:ascii="仿宋_GB2312" w:hAnsi="仿宋_GB2312" w:cs="仿宋_GB2312" w:eastAsia="仿宋_GB2312"/>
                <w:sz w:val="19"/>
                <w:color w:val="3D4B64"/>
                <w:shd w:fill="FFFFFF" w:val="clear"/>
              </w:rPr>
              <w:t>1、总体规划技术总体要求： 编制煤炭矿区总体规划应当坚持生态优先、绿色发展、合理布局、有序开发、规模生产、综合利用的原则，矿区 总体规划编制工作要符合国家法律、法规、标准、规范等有关规定，符合自治区煤炭工业高质量发展的要求。</w:t>
            </w:r>
          </w:p>
          <w:p>
            <w:pPr>
              <w:pStyle w:val="null5"/>
              <w:spacing w:before="150" w:after="150"/>
              <w:jc w:val="left"/>
            </w:pPr>
            <w:r>
              <w:rPr>
                <w:rFonts w:ascii="仿宋_GB2312" w:hAnsi="仿宋_GB2312" w:cs="仿宋_GB2312" w:eastAsia="仿宋_GB2312"/>
                <w:sz w:val="19"/>
                <w:color w:val="3D4B64"/>
                <w:shd w:fill="FFFFFF" w:val="clear"/>
              </w:rPr>
              <w:t>2、编制依据、标准，均以现行文件为准，包括但不限于以下文件：《煤炭矿区总体规划管理暂行规定》（国家发改委2012年第14号令）、 《生态环境部国家发展和改革委员会国家能源局关于进一步加强煤炭资源开发环境影响评价管理的通知》（环环评〔2020〕63号）、《 煤炭工业矿区总体规划规范》（GB50465-2008）、《煤炭工业矿区总体规划文件编制标准》（GB/T 50651-2011）</w:t>
            </w:r>
          </w:p>
          <w:p>
            <w:pPr>
              <w:pStyle w:val="null5"/>
              <w:spacing w:before="150" w:after="150"/>
              <w:jc w:val="left"/>
            </w:pPr>
            <w:r>
              <w:rPr>
                <w:rFonts w:ascii="仿宋_GB2312" w:hAnsi="仿宋_GB2312" w:cs="仿宋_GB2312" w:eastAsia="仿宋_GB2312"/>
                <w:sz w:val="19"/>
                <w:color w:val="3D4B64"/>
                <w:shd w:fill="FFFFFF" w:val="clear"/>
              </w:rPr>
              <w:t>3、规划范围：包头市土默特右旗矿区。</w:t>
            </w:r>
          </w:p>
          <w:p>
            <w:pPr>
              <w:pStyle w:val="null5"/>
              <w:spacing w:before="150" w:after="150"/>
              <w:jc w:val="left"/>
            </w:pPr>
            <w:r>
              <w:rPr>
                <w:rFonts w:ascii="仿宋_GB2312" w:hAnsi="仿宋_GB2312" w:cs="仿宋_GB2312" w:eastAsia="仿宋_GB2312"/>
                <w:sz w:val="19"/>
                <w:color w:val="3D4B64"/>
                <w:shd w:fill="FFFFFF" w:val="clear"/>
              </w:rPr>
              <w:t>4、主要任务和内容：1 、依据现行《煤炭工业矿区总体规划规范》（GB50465-2008）、《煤炭工业矿区总体规划文件编制标准》（GBT50 651-2011）、《煤炭矿区总体规划管理暂行规定》（国家发改委2012年第14号令）、《关于进一步加强煤炭资源开发环境影响评价管  理的通知》（环环评〔2020〕63号）等现行法规、产业政策及煤炭工业规程、规范、标准及有关文件等编制矿区煤炭总体规划书，配合  采购人取得审批部门组织的评估，并根据专家组提出的意见和建议及时修订总体规划，取得内蒙古自治区能源局的批复。2 、编制单位要熟 悉矿区现状，在对矿区进行充分调查的基础上，从对本项目的重点、难点及关键性技术问题的分析与对策措施等方面进行评价。</w:t>
            </w:r>
          </w:p>
          <w:p>
            <w:pPr>
              <w:pStyle w:val="null5"/>
              <w:spacing w:before="150" w:after="150"/>
              <w:jc w:val="left"/>
            </w:pPr>
            <w:r>
              <w:rPr>
                <w:rFonts w:ascii="仿宋_GB2312" w:hAnsi="仿宋_GB2312" w:cs="仿宋_GB2312" w:eastAsia="仿宋_GB2312"/>
                <w:sz w:val="19"/>
                <w:color w:val="3D4B64"/>
                <w:shd w:fill="FFFFFF" w:val="clear"/>
              </w:rPr>
              <w:t>5、服务质量：成果文件应符合内蒙古自治区能源局的质量验收标准，且能够取得内蒙古自治区能源局的批复文件。</w:t>
            </w:r>
          </w:p>
          <w:p>
            <w:pPr>
              <w:pStyle w:val="null5"/>
              <w:spacing w:before="150" w:after="150"/>
              <w:jc w:val="left"/>
            </w:pPr>
            <w:r>
              <w:rPr>
                <w:rFonts w:ascii="仿宋_GB2312" w:hAnsi="仿宋_GB2312" w:cs="仿宋_GB2312" w:eastAsia="仿宋_GB2312"/>
                <w:sz w:val="19"/>
                <w:color w:val="3D4B64"/>
                <w:shd w:fill="FFFFFF" w:val="clear"/>
              </w:rPr>
              <w:t>6、其他要求：① 、制定工作方案。中标后10个工作日内制定工作方案，经采购人审核通过后实施。②、规划编制。按照国家现行法律、法规、 政策及规范要求编制完成矿区总体规划编制，形成规划文本。③、报审修改。中标人交付总体规划文件后，应按规定参加内蒙古自治区能源 局的规划评审审査，并承担相关费用（包括但不限于资料费、评审费、交通费等），根据审査结论负责对不超出原定范围的内容做出必要  调整修改、补充，直到总体规划文件通过内蒙古自治区能源局的批准，并承担由此产生的全部费用。④ 、专家评审费用由中标人承担。</w:t>
            </w:r>
          </w:p>
          <w:p>
            <w:pPr>
              <w:pStyle w:val="null5"/>
              <w:spacing w:before="150" w:after="150"/>
              <w:jc w:val="left"/>
            </w:pPr>
            <w:r>
              <w:rPr>
                <w:rFonts w:ascii="仿宋_GB2312" w:hAnsi="仿宋_GB2312" w:cs="仿宋_GB2312" w:eastAsia="仿宋_GB2312"/>
                <w:sz w:val="19"/>
                <w:color w:val="3D4B64"/>
                <w:shd w:fill="FFFFFF" w:val="clear"/>
              </w:rPr>
              <w:t>7、成果形式：①、规划文本。依据规划编制任务要求，形成规划文本。规划文本要符合相关规范要求，文字表述要科学准确，详略得当。②、 规划图件。依据规划编制任务要求，形成规划图件。规划图件与相关规划充分衔接，符合相关规范，图面信息准确科学、表达直观清晰。</w:t>
            </w:r>
          </w:p>
          <w:p>
            <w:pPr>
              <w:pStyle w:val="null5"/>
              <w:spacing w:before="150" w:after="150"/>
              <w:jc w:val="left"/>
            </w:pPr>
            <w:r>
              <w:rPr>
                <w:rFonts w:ascii="仿宋_GB2312" w:hAnsi="仿宋_GB2312" w:cs="仿宋_GB2312" w:eastAsia="仿宋_GB2312"/>
                <w:sz w:val="19"/>
                <w:color w:val="3D4B64"/>
                <w:shd w:fill="FFFFFF" w:val="clear"/>
              </w:rPr>
              <w:t>8、成果提交形式：① 、电子版成果文件：ArcGIS 、Auto CAD、PDF三类电子版，图纸应采用大地2000坐标系统，电子版一份。② 、纸质版成果文件：纸质版一式10份。</w:t>
            </w:r>
          </w:p>
          <w:p>
            <w:pPr>
              <w:pStyle w:val="null5"/>
              <w:spacing w:before="150" w:after="150"/>
              <w:jc w:val="left"/>
            </w:pPr>
            <w:r>
              <w:rPr>
                <w:rFonts w:ascii="仿宋_GB2312" w:hAnsi="仿宋_GB2312" w:cs="仿宋_GB2312" w:eastAsia="仿宋_GB2312"/>
                <w:sz w:val="19"/>
                <w:color w:val="3D4B64"/>
                <w:shd w:fill="FFFFFF" w:val="clear"/>
              </w:rPr>
              <w:t>9、质量控制：中标单位内部应该建立二级以上评审制度，规划审定人应该符合采购要求。中标单位应认真修改完善报告书，如因技术或质量原因导致评审未通过且修订后仍无法通过评审，规划编制工作中止，责任由规划编制单位承担，采购人有权追偿损失。</w:t>
            </w:r>
          </w:p>
          <w:p>
            <w:pPr>
              <w:pStyle w:val="null5"/>
              <w:spacing w:before="150" w:after="150"/>
              <w:jc w:val="left"/>
            </w:pPr>
            <w:r>
              <w:rPr>
                <w:rFonts w:ascii="仿宋_GB2312" w:hAnsi="仿宋_GB2312" w:cs="仿宋_GB2312" w:eastAsia="仿宋_GB2312"/>
                <w:sz w:val="19"/>
                <w:color w:val="3D4B64"/>
                <w:shd w:fill="FFFFFF" w:val="clear"/>
              </w:rPr>
              <w:t>10、服务期限：合同签订之日起至2026年1月31日前完成成果文件送审并获得批准。说明：中标人需在2026年1月31日前完成矿区总体规划（送审稿），并负责通过评审且获得内蒙古自治区能源局的批准。</w:t>
            </w:r>
          </w:p>
          <w:p>
            <w:pPr>
              <w:pStyle w:val="null5"/>
              <w:spacing w:before="150" w:after="150"/>
              <w:jc w:val="left"/>
            </w:pPr>
            <w:r>
              <w:rPr>
                <w:rFonts w:ascii="仿宋_GB2312" w:hAnsi="仿宋_GB2312" w:cs="仿宋_GB2312" w:eastAsia="仿宋_GB2312"/>
                <w:sz w:val="19"/>
                <w:color w:val="3D4B64"/>
                <w:shd w:fill="FFFFFF" w:val="clear"/>
              </w:rPr>
              <w:t>11、总体规划环境影响评价及水资源论证技术总体要求报告： 矿区总体规划环境及水资源论证影响评价工作要符合国家法律、法规、标准、规范等有关规定。依据国土空间规划和生态保护红线、 自然保护地管理要求等，符合自治区生态环境保护和煤炭工业高质量发展的相关要求。</w:t>
            </w:r>
          </w:p>
          <w:p>
            <w:pPr>
              <w:pStyle w:val="null5"/>
              <w:spacing w:before="150" w:after="150"/>
              <w:jc w:val="left"/>
            </w:pPr>
            <w:r>
              <w:rPr>
                <w:rFonts w:ascii="仿宋_GB2312" w:hAnsi="仿宋_GB2312" w:cs="仿宋_GB2312" w:eastAsia="仿宋_GB2312"/>
                <w:sz w:val="19"/>
                <w:color w:val="3D4B64"/>
                <w:shd w:fill="FFFFFF" w:val="clear"/>
              </w:rPr>
              <w:t>12</w:t>
            </w:r>
            <w:r>
              <w:rPr>
                <w:rFonts w:ascii="仿宋_GB2312" w:hAnsi="仿宋_GB2312" w:cs="仿宋_GB2312" w:eastAsia="仿宋_GB2312"/>
                <w:sz w:val="21"/>
                <w:shd w:fill="FFFFFF" w:val="clear"/>
              </w:rPr>
              <w:t xml:space="preserve"> </w:t>
            </w:r>
            <w:r>
              <w:rPr>
                <w:rFonts w:ascii="仿宋_GB2312" w:hAnsi="仿宋_GB2312" w:cs="仿宋_GB2312" w:eastAsia="仿宋_GB2312"/>
                <w:sz w:val="19"/>
                <w:color w:val="3D4B64"/>
                <w:shd w:fill="FFFFFF" w:val="clear"/>
              </w:rPr>
              <w:t>编制依据、标准，均以现行文件为准，包括但不限于以下文件：《中华人民共和国环境保护法》、《中华人民共和国环境影响评价法》、《规划环境影响评价条例》、《环境影响评价公众参与办法》（生态环境部部令第</w:t>
            </w:r>
            <w:r>
              <w:rPr>
                <w:rFonts w:ascii="仿宋_GB2312" w:hAnsi="仿宋_GB2312" w:cs="仿宋_GB2312" w:eastAsia="仿宋_GB2312"/>
                <w:sz w:val="19"/>
                <w:color w:val="3D4B64"/>
                <w:shd w:fill="FFFFFF" w:val="clear"/>
              </w:rPr>
              <w:t>4号）、《生态环境部国家发展和改革委员会国家能源局关于进一步加强煤炭资源开发环境影响评价管理的通知》（环环评〔2020〕63号）、《规划环境影响评价技术导则总纲》（HJ 130-201 9）、《规划水资源论证技术导则》（SL813-2021）、《规划和建设项目节水评价技术要求》（办节约〔2019〕206号。</w:t>
            </w:r>
          </w:p>
          <w:p>
            <w:pPr>
              <w:pStyle w:val="null5"/>
              <w:spacing w:before="150" w:after="150"/>
              <w:jc w:val="left"/>
            </w:pPr>
            <w:r>
              <w:rPr>
                <w:rFonts w:ascii="仿宋_GB2312" w:hAnsi="仿宋_GB2312" w:cs="仿宋_GB2312" w:eastAsia="仿宋_GB2312"/>
                <w:sz w:val="19"/>
                <w:color w:val="3D4B64"/>
                <w:shd w:fill="FFFFFF" w:val="clear"/>
              </w:rPr>
              <w:t>13、评价范围：包头市土默特右旗矿区。</w:t>
            </w:r>
          </w:p>
          <w:p>
            <w:pPr>
              <w:pStyle w:val="null5"/>
              <w:jc w:val="left"/>
            </w:pPr>
            <w:r>
              <w:rPr>
                <w:rFonts w:ascii="仿宋_GB2312" w:hAnsi="仿宋_GB2312" w:cs="仿宋_GB2312" w:eastAsia="仿宋_GB2312"/>
              </w:rPr>
              <w:t xml:space="preserve"> </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技术部分59.00分</w:t>
            </w:r>
          </w:p>
          <w:p>
            <w:pPr>
              <w:pStyle w:val="null5"/>
              <w:jc w:val="left"/>
            </w:pPr>
            <w:r>
              <w:rPr>
                <w:rFonts w:ascii="仿宋_GB2312" w:hAnsi="仿宋_GB2312" w:cs="仿宋_GB2312" w:eastAsia="仿宋_GB2312"/>
              </w:rPr>
              <w:t>商务部分31.00分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现状分析评价</w:t>
            </w:r>
          </w:p>
        </w:tc>
        <w:tc>
          <w:tcPr>
            <w:tcW w:type="dxa" w:w="3115"/>
          </w:tcPr>
          <w:p>
            <w:pPr>
              <w:pStyle w:val="null5"/>
              <w:jc w:val="left"/>
            </w:pPr>
            <w:r>
              <w:rPr>
                <w:rFonts w:ascii="仿宋_GB2312" w:hAnsi="仿宋_GB2312" w:cs="仿宋_GB2312" w:eastAsia="仿宋_GB2312"/>
              </w:rPr>
              <w:t>根据供应商对本煤炭矿区的现状的了解和分析情况评价进行评审，(1)服务目标清晰、完整，方案内容表述明确得7-10分（7＜分值≤10）；(2) 服务目标比较清晰、完整， 方案内容表述比较明确得4-7分（4＜分值≤7）；(3) 服务目标基本清晰、 完整，方案内容表述基本明确得0-4分（0＜分值≤4）；(4) 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人员配置及管理</w:t>
            </w:r>
          </w:p>
        </w:tc>
        <w:tc>
          <w:tcPr>
            <w:tcW w:type="dxa" w:w="3115"/>
          </w:tcPr>
          <w:p>
            <w:pPr>
              <w:pStyle w:val="null5"/>
              <w:jc w:val="left"/>
            </w:pPr>
            <w:r>
              <w:rPr>
                <w:rFonts w:ascii="仿宋_GB2312" w:hAnsi="仿宋_GB2312" w:cs="仿宋_GB2312" w:eastAsia="仿宋_GB2312"/>
              </w:rPr>
              <w:t>投标文件中需提供人员配备计划，包含①人员配备计划满足需求，配备人员合理;②针对本服务要求配置人员分工明确;③针对本服务要求人员配置及管理制度、考核 制度完善。内容完全满足以上要求并且详细 、切实可行的得6分(每小项分值为2分，缺项扣2分) ，每小项如出现凭空编造、内容前后不一致、逻辑混乱、不符合采购需求、内容缺失、内容不合理的情况，每出现一种情 况扣1分，每小项最多扣2分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工作进度</w:t>
            </w:r>
          </w:p>
        </w:tc>
        <w:tc>
          <w:tcPr>
            <w:tcW w:type="dxa" w:w="3115"/>
          </w:tcPr>
          <w:p>
            <w:pPr>
              <w:pStyle w:val="null5"/>
              <w:jc w:val="left"/>
            </w:pPr>
            <w:r>
              <w:rPr>
                <w:rFonts w:ascii="仿宋_GB2312" w:hAnsi="仿宋_GB2312" w:cs="仿宋_GB2312" w:eastAsia="仿宋_GB2312"/>
              </w:rPr>
              <w:t>根据投标人针对本项目制定的工作进度方案及便利条件，详细包括①进度计划安排②保障进度措施③对项目工序的划分④保障重大工作内容完成时间节点的措施进行打分，内容完全满足以上要求并且详细、切实可行的得8分(每小项分值为2分，缺项扣2分) ，每小项如出现凭空编造、内容前后不一致、逻辑混乱、不符合采购需求、内容缺失、内容不合理的情况，每出现一种情况扣1分，每小项最多扣2分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服务方案</w:t>
            </w:r>
          </w:p>
        </w:tc>
        <w:tc>
          <w:tcPr>
            <w:tcW w:type="dxa" w:w="3115"/>
          </w:tcPr>
          <w:p>
            <w:pPr>
              <w:pStyle w:val="null5"/>
              <w:jc w:val="left"/>
            </w:pPr>
            <w:r>
              <w:rPr>
                <w:rFonts w:ascii="仿宋_GB2312" w:hAnsi="仿宋_GB2312" w:cs="仿宋_GB2312" w:eastAsia="仿宋_GB2312"/>
              </w:rPr>
              <w:t>包括①对采购需求的理解与认识②实施方案涵盖内容的完整性及可实施性③项目重点难点分析④技术规范使用性⑤工作流程及保证措施等；以上要求并且详细、切实可行的得15分(每小项分值为3分，缺项扣3分) ，每小项如出现凭空编造、内容前后不一致、逻辑混乱、不符合采购需求、内容缺失、内容不合理的情况，每出现一种情况扣1分，每小项最多扣3分。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质量保证体系措施</w:t>
            </w:r>
          </w:p>
        </w:tc>
        <w:tc>
          <w:tcPr>
            <w:tcW w:type="dxa" w:w="3115"/>
          </w:tcPr>
          <w:p>
            <w:pPr>
              <w:pStyle w:val="null5"/>
              <w:jc w:val="left"/>
            </w:pPr>
            <w:r>
              <w:rPr>
                <w:rFonts w:ascii="仿宋_GB2312" w:hAnsi="仿宋_GB2312" w:cs="仿宋_GB2312" w:eastAsia="仿宋_GB2312"/>
              </w:rPr>
              <w:t>包括①对质量管理组织机构是否健全②质量保证措施是否得当③质量管理关键点分析及应对是否合理④能够体现过程控制和成果控制，最终成果满足国家及地方要求等内容。 措施完整、科学、切实可行的得8分(每小项分值为2分，缺项扣2分) ，小项如出现凭空编造、内容前后不一致、逻辑混乱、不符 合采购需求、内容缺失、内容不合理的情况 , 每出现一种情况扣1分，每小项最多扣2分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后续服务的安排及保证措施</w:t>
            </w:r>
          </w:p>
        </w:tc>
        <w:tc>
          <w:tcPr>
            <w:tcW w:type="dxa" w:w="3115"/>
          </w:tcPr>
          <w:p>
            <w:pPr>
              <w:pStyle w:val="null5"/>
              <w:jc w:val="left"/>
            </w:pPr>
            <w:r>
              <w:rPr>
                <w:rFonts w:ascii="仿宋_GB2312" w:hAnsi="仿宋_GB2312" w:cs="仿宋_GB2312" w:eastAsia="仿宋_GB2312"/>
              </w:rPr>
              <w:t>根据投标人针对本项目提供的后续服务方案进行评审，包括①后续服务处理机制②后续服务响应时间③明确人员职责完善项目进行后续服务方案，内容完全满足以上要求并且科学合理完善的得6分(每小项分值为2分，缺项扣2分) ，每小项如出现凭空编造、内容前后不一致、逻转混乱、不符合采购需求、内容缺失、内容不合理的情况，每出现一种情况扣1分，每小项最多扣2分。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保密管理措施</w:t>
            </w:r>
          </w:p>
        </w:tc>
        <w:tc>
          <w:tcPr>
            <w:tcW w:type="dxa" w:w="3115"/>
          </w:tcPr>
          <w:p>
            <w:pPr>
              <w:pStyle w:val="null5"/>
              <w:jc w:val="left"/>
            </w:pPr>
            <w:r>
              <w:rPr>
                <w:rFonts w:ascii="仿宋_GB2312" w:hAnsi="仿宋_GB2312" w:cs="仿宋_GB2312" w:eastAsia="仿宋_GB2312"/>
              </w:rPr>
              <w:t>投标人需要提供完善的保密管理方案，制定 完善的保密措施，包括①保密原则及保密内容② 保密实施细则③ 保密岗位责任及保密培训，整体措施科学合理、切实可行的得6分( 每小项分值为2分，缺项扣2分) ，每小项如 出现凭空编造、内容前后不一致、逻辑混乱 、不符合采购需求、内容缺失内容不合理的 情况，每出现一种情况扣1分，每小项最多扣2分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①2022年1月1日以来承担过煤 炭矿区总体规划编制业绩，每有一项加1.5分，最多得6分；②2022年1月1日以来承担过煤炭矿区总体规划环境影响评价报告编制业绩，每有一项加1.5分，最多得6分。③2022年1月1日以来承担过煤炭矿区水资源论证报告编制业绩，每有一项加1.5分，最多得6分。（投标人需提供合同原件扫描件，不提供原件扫描件或扫描件不清晰不予计分）</w:t>
            </w:r>
          </w:p>
        </w:tc>
        <w:tc>
          <w:tcPr>
            <w:tcW w:type="dxa" w:w="1038"/>
          </w:tcPr>
          <w:p>
            <w:pPr>
              <w:pStyle w:val="null5"/>
              <w:jc w:val="right"/>
            </w:pPr>
            <w:r>
              <w:rPr>
                <w:rFonts w:ascii="仿宋_GB2312" w:hAnsi="仿宋_GB2312" w:cs="仿宋_GB2312" w:eastAsia="仿宋_GB2312"/>
              </w:rPr>
              <w:t>18.00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项目负责人业绩</w:t>
            </w:r>
          </w:p>
        </w:tc>
        <w:tc>
          <w:tcPr>
            <w:tcW w:type="dxa" w:w="3115"/>
          </w:tcPr>
          <w:p>
            <w:pPr>
              <w:pStyle w:val="null5"/>
              <w:jc w:val="left"/>
            </w:pPr>
            <w:r>
              <w:rPr>
                <w:rFonts w:ascii="仿宋_GB2312" w:hAnsi="仿宋_GB2312" w:cs="仿宋_GB2312" w:eastAsia="仿宋_GB2312"/>
              </w:rPr>
              <w:t>①煤炭矿区总规项目负责人担任过已批复的煤炭矿区总体规划编制项目的负责人业绩得2分。②煤炭矿区环境影响评价项目负责人担任过已批复 的已批复的煤炭矿区环境影响评价编制工作项目的负责人业绩得2分。 ( 投标人需要提供总体规划批复意见及规划环评审查意见原件扫描件，不提供原件扫描件或扫描件不清晰不予计分）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审定人员</w:t>
            </w:r>
          </w:p>
        </w:tc>
        <w:tc>
          <w:tcPr>
            <w:tcW w:type="dxa" w:w="3115"/>
          </w:tcPr>
          <w:p>
            <w:pPr>
              <w:pStyle w:val="null5"/>
              <w:jc w:val="left"/>
            </w:pPr>
            <w:r>
              <w:rPr>
                <w:rFonts w:ascii="仿宋_GB2312" w:hAnsi="仿宋_GB2312" w:cs="仿宋_GB2312" w:eastAsia="仿宋_GB2312"/>
              </w:rPr>
              <w:t>煤炭矿区总规与环境影响评价的审定人员具有相关专业教授级高级工程师或正高级工程师职称证书，每人得1分，最多得4分。（投标人需提供证书原件的扫描件，不提供原件扫描件或扫描件不清晰不予计分。）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企业获奖</w:t>
            </w:r>
          </w:p>
        </w:tc>
        <w:tc>
          <w:tcPr>
            <w:tcW w:type="dxa" w:w="3115"/>
          </w:tcPr>
          <w:p>
            <w:pPr>
              <w:pStyle w:val="null5"/>
              <w:jc w:val="left"/>
            </w:pPr>
            <w:r>
              <w:rPr>
                <w:rFonts w:ascii="仿宋_GB2312" w:hAnsi="仿宋_GB2312" w:cs="仿宋_GB2312" w:eastAsia="仿宋_GB2312"/>
              </w:rPr>
              <w:t>投标人承担的煤炭矿区总体规划或环境影响评价报告获得奖项的，每有一项得0.5分，最高得5分。（投标人需提供奖项证明文件原件的扫描件，不提供原件扫描件或扫描件不清晰不予计分）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