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土默特右旗2024年全国基层农技推广体系改革与建设补助项目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土默特右旗农业技术推广中心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内蒙古鑫研项目管理有限公司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BTZCTYS-G-H-250012</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内蒙古鑫研项目管理有限公司</w:t>
      </w:r>
      <w:r>
        <w:rPr>
          <w:rFonts w:ascii="仿宋_GB2312" w:hAnsi="仿宋_GB2312" w:cs="仿宋_GB2312" w:eastAsia="仿宋_GB2312"/>
        </w:rPr>
        <w:t xml:space="preserve"> 受 </w:t>
      </w:r>
      <w:r>
        <w:rPr>
          <w:rFonts w:ascii="仿宋_GB2312" w:hAnsi="仿宋_GB2312" w:cs="仿宋_GB2312" w:eastAsia="仿宋_GB2312"/>
        </w:rPr>
        <w:t>土默特右旗农业技术推广中心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土默特右旗2024年全国基层农技推广体系改革与建设补助项目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土默特右旗2024年全国基层农技推广体系改革与建设补助项目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BTZCTYS-G-H-250012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包政采计划[2025]土右00207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715,260.00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尿素</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right"/>
            </w:pPr>
            <w:r>
              <w:rPr>
                <w:rFonts w:ascii="仿宋_GB2312" w:hAnsi="仿宋_GB2312" w:cs="仿宋_GB2312" w:eastAsia="仿宋_GB2312"/>
              </w:rPr>
              <w:t>131,250.00</w:t>
            </w:r>
          </w:p>
        </w:tc>
        <w:tc>
          <w:tcPr>
            <w:tcW w:type="dxa" w:w="831"/>
          </w:tcPr>
          <w:p>
            <w:pPr>
              <w:pStyle w:val="null5"/>
              <w:jc w:val="left"/>
            </w:pPr>
            <w:r>
              <w:rPr>
                <w:rFonts w:ascii="仿宋_GB2312" w:hAnsi="仿宋_GB2312" w:cs="仿宋_GB2312" w:eastAsia="仿宋_GB2312"/>
              </w:rPr>
              <w:t>吨</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复合肥</w:t>
            </w:r>
          </w:p>
        </w:tc>
        <w:tc>
          <w:tcPr>
            <w:tcW w:type="dxa" w:w="831"/>
          </w:tcPr>
          <w:p>
            <w:pPr>
              <w:pStyle w:val="null5"/>
              <w:jc w:val="right"/>
            </w:pPr>
            <w:r>
              <w:rPr>
                <w:rFonts w:ascii="仿宋_GB2312" w:hAnsi="仿宋_GB2312" w:cs="仿宋_GB2312" w:eastAsia="仿宋_GB2312"/>
              </w:rPr>
              <w:t>105.00</w:t>
            </w:r>
          </w:p>
        </w:tc>
        <w:tc>
          <w:tcPr>
            <w:tcW w:type="dxa" w:w="831"/>
          </w:tcPr>
          <w:p>
            <w:pPr>
              <w:pStyle w:val="null5"/>
              <w:jc w:val="right"/>
            </w:pPr>
            <w:r>
              <w:rPr>
                <w:rFonts w:ascii="仿宋_GB2312" w:hAnsi="仿宋_GB2312" w:cs="仿宋_GB2312" w:eastAsia="仿宋_GB2312"/>
              </w:rPr>
              <w:t>399,000.00</w:t>
            </w:r>
          </w:p>
        </w:tc>
        <w:tc>
          <w:tcPr>
            <w:tcW w:type="dxa" w:w="831"/>
          </w:tcPr>
          <w:p>
            <w:pPr>
              <w:pStyle w:val="null5"/>
              <w:jc w:val="left"/>
            </w:pPr>
            <w:r>
              <w:rPr>
                <w:rFonts w:ascii="仿宋_GB2312" w:hAnsi="仿宋_GB2312" w:cs="仿宋_GB2312" w:eastAsia="仿宋_GB2312"/>
              </w:rPr>
              <w:t>吨</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大量元素水溶肥</w:t>
            </w:r>
          </w:p>
        </w:tc>
        <w:tc>
          <w:tcPr>
            <w:tcW w:type="dxa" w:w="831"/>
          </w:tcPr>
          <w:p>
            <w:pPr>
              <w:pStyle w:val="null5"/>
              <w:jc w:val="right"/>
            </w:pPr>
            <w:r>
              <w:rPr>
                <w:rFonts w:ascii="仿宋_GB2312" w:hAnsi="仿宋_GB2312" w:cs="仿宋_GB2312" w:eastAsia="仿宋_GB2312"/>
              </w:rPr>
              <w:t>26.43</w:t>
            </w:r>
          </w:p>
        </w:tc>
        <w:tc>
          <w:tcPr>
            <w:tcW w:type="dxa" w:w="831"/>
          </w:tcPr>
          <w:p>
            <w:pPr>
              <w:pStyle w:val="null5"/>
              <w:jc w:val="right"/>
            </w:pPr>
            <w:r>
              <w:rPr>
                <w:rFonts w:ascii="仿宋_GB2312" w:hAnsi="仿宋_GB2312" w:cs="仿宋_GB2312" w:eastAsia="仿宋_GB2312"/>
              </w:rPr>
              <w:t>185,010.00</w:t>
            </w:r>
          </w:p>
        </w:tc>
        <w:tc>
          <w:tcPr>
            <w:tcW w:type="dxa" w:w="831"/>
          </w:tcPr>
          <w:p>
            <w:pPr>
              <w:pStyle w:val="null5"/>
              <w:jc w:val="left"/>
            </w:pPr>
            <w:r>
              <w:rPr>
                <w:rFonts w:ascii="仿宋_GB2312" w:hAnsi="仿宋_GB2312" w:cs="仿宋_GB2312" w:eastAsia="仿宋_GB2312"/>
              </w:rPr>
              <w:t>吨</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的特定资格要求：投标人需提供行政主管部门核发的本项目采购产品的肥料登记证书或肥料备案证明资料（免予登记的除外），代理商可提供厂家肥料登记证书或肥料备案证明资料（免予登记的除外）。如肥料生产企业所属城市取消办理相关产品的肥料登记需提供相关证明资料，如相关产品管理方式由登记改为备案的需提供相关备案资料。如所供货物属于复肥品种和磷肥品种需提供生产企业的工业产品生产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内蒙古鑫研项目管理有限公司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内蒙古自治区包头市土默特右旗内蒙古自治区包头市土默特右旗萨拉齐镇科技大街北侧紫晶苑小区C段10号商店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郭超敏</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15147239899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土默特右旗农业技术推广中心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土默特右旗萨拉齐镇影院街果园路7号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段翠萍</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13947278006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特别提示： ①、本次报价为总价报价，包括本项目采购需求和投入使用的所有费用，如主件、标准附件、备品备件、施工、服务、专用工具、安装、调试、检验、培训、运输、保险、税款等。投标报价中不得包含采购文件要求以外的内容，否则，在评审时不予核减。投标报价中也不得缺漏采购文件所要求的内容，否则，采购人将认为其投标报价已经包含该缺漏项报价。 ②、评审小组认为投标人的投标报价明显低于其他通过符合性审查投标人的投标报价，有可能影响服务质量或者不能诚信履约的，应当要求其在评审现场合理的时间内提供书面说明，必要时提交相关证明材料；投标人不能证明其报价合理性的，评审小组应当将其作为无效投标处理。 ③、由于采购文件中《合同与验收》为固定模板，无法修改。本项目的合同条款及格式以实际签订内容为准。 ④、本项目为电子投标，制作投标文件时请到内蒙古自治区政府采购网自行学习，如遇问题无法解决可直接联系软件公司咨询，技术支持400-0471-010。 ⑤、由于本项目采用电子采购，采购文件为系统模板，根据具体项目的情况无法准确描述，部分内容只可填空，不可更改。所以采购文件中有不适用之处，敬请见谅。如有问题，请及时联系采购代理机构。 ⑥、本项目为远程开标，投标人需提前30分钟登录系统签到，开标时远程解锁、确认。开标时，各投标人必须保证电脑可正常登陆、解密及签章。本项目设置解密、签章确认时间时限均为30分钟，如投标人在规定时间内无法解密或签章，造成废标的，采购人及代理机构不承担任何责任。</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土默特右旗农业技术推广中心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内蒙古鑫研项目管理有限公司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本项目的特定资格要求</w:t>
            </w:r>
          </w:p>
        </w:tc>
        <w:tc>
          <w:tcPr>
            <w:tcW w:type="dxa" w:w="4984"/>
          </w:tcPr>
          <w:p>
            <w:pPr>
              <w:pStyle w:val="null5"/>
              <w:jc w:val="left"/>
            </w:pPr>
            <w:r>
              <w:rPr>
                <w:rFonts w:ascii="仿宋_GB2312" w:hAnsi="仿宋_GB2312" w:cs="仿宋_GB2312" w:eastAsia="仿宋_GB2312"/>
              </w:rPr>
              <w:t>投标人需提供行政主管部门核发的本项目采购产品的肥料登记证书或肥料备案证明资料（免予登记的除外），代理商可提供厂家肥料登记证书或肥料备案证明资料（免予登记的除外）。如肥料生产企业所属城市取消办理相关产品的肥料登记需提供相关证明资料，如相关产品管理方式由登记改为备案的需提供相关备案资料。如所供货物属于复肥品种和磷肥品种需提供生产企业的工业产品生产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土默特右旗2024年全国基层农技推广体系改革与建设补助项目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按采购人要求</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土默特右旗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1、货到采购人验收合格后，根据财政拨款进度支付，具体支付情况在合同中约定，达到付款条件起30日，支付合同总金额的100.00%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1、期次1，说明：符合国家及行业相关标准，满足采购人要求</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标的名称：尿素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color w:val="0A82E5"/>
              </w:rPr>
              <w:t>尿素：</w:t>
            </w:r>
          </w:p>
          <w:p>
            <w:pPr>
              <w:pStyle w:val="null5"/>
              <w:jc w:val="both"/>
            </w:pPr>
            <w:r>
              <w:rPr>
                <w:rFonts w:ascii="仿宋_GB2312" w:hAnsi="仿宋_GB2312" w:cs="仿宋_GB2312" w:eastAsia="仿宋_GB2312"/>
                <w:sz w:val="21"/>
                <w:color w:val="0A82E5"/>
              </w:rPr>
              <w:t>①</w:t>
            </w:r>
            <w:r>
              <w:rPr>
                <w:rFonts w:ascii="仿宋_GB2312" w:hAnsi="仿宋_GB2312" w:cs="仿宋_GB2312" w:eastAsia="仿宋_GB2312"/>
                <w:sz w:val="21"/>
                <w:color w:val="0A82E5"/>
              </w:rPr>
              <w:t>标准</w:t>
            </w:r>
            <w:r>
              <w:rPr>
                <w:rFonts w:ascii="仿宋_GB2312" w:hAnsi="仿宋_GB2312" w:cs="仿宋_GB2312" w:eastAsia="仿宋_GB2312"/>
                <w:sz w:val="21"/>
                <w:color w:val="0A82E5"/>
              </w:rPr>
              <w:t>GB/T</w:t>
            </w:r>
            <w:r>
              <w:rPr>
                <w:rFonts w:ascii="仿宋_GB2312" w:hAnsi="仿宋_GB2312" w:cs="仿宋_GB2312" w:eastAsia="仿宋_GB2312"/>
                <w:sz w:val="21"/>
              </w:rPr>
              <w:t xml:space="preserve"> </w:t>
            </w:r>
            <w:r>
              <w:rPr>
                <w:rFonts w:ascii="仿宋_GB2312" w:hAnsi="仿宋_GB2312" w:cs="仿宋_GB2312" w:eastAsia="仿宋_GB2312"/>
                <w:sz w:val="21"/>
                <w:color w:val="0A82E5"/>
              </w:rPr>
              <w:t>2440-2017</w:t>
            </w:r>
          </w:p>
          <w:p>
            <w:pPr>
              <w:pStyle w:val="null5"/>
              <w:jc w:val="both"/>
            </w:pPr>
            <w:r>
              <w:rPr>
                <w:rFonts w:ascii="仿宋_GB2312" w:hAnsi="仿宋_GB2312" w:cs="仿宋_GB2312" w:eastAsia="仿宋_GB2312"/>
                <w:sz w:val="21"/>
                <w:color w:val="0A82E5"/>
              </w:rPr>
              <w:t>②</w:t>
            </w:r>
            <w:r>
              <w:rPr>
                <w:rFonts w:ascii="仿宋_GB2312" w:hAnsi="仿宋_GB2312" w:cs="仿宋_GB2312" w:eastAsia="仿宋_GB2312"/>
                <w:sz w:val="21"/>
                <w:color w:val="0A82E5"/>
              </w:rPr>
              <w:t>总氮（</w:t>
            </w:r>
            <w:r>
              <w:rPr>
                <w:rFonts w:ascii="仿宋_GB2312" w:hAnsi="仿宋_GB2312" w:cs="仿宋_GB2312" w:eastAsia="仿宋_GB2312"/>
                <w:sz w:val="21"/>
                <w:color w:val="0A82E5"/>
              </w:rPr>
              <w:t>N）≥46.0%</w:t>
            </w:r>
          </w:p>
          <w:p>
            <w:pPr>
              <w:pStyle w:val="null5"/>
              <w:jc w:val="both"/>
            </w:pPr>
            <w:r>
              <w:rPr>
                <w:rFonts w:ascii="仿宋_GB2312" w:hAnsi="仿宋_GB2312" w:cs="仿宋_GB2312" w:eastAsia="仿宋_GB2312"/>
                <w:sz w:val="21"/>
                <w:color w:val="0A82E5"/>
              </w:rPr>
              <w:t>③</w:t>
            </w:r>
            <w:r>
              <w:rPr>
                <w:rFonts w:ascii="仿宋_GB2312" w:hAnsi="仿宋_GB2312" w:cs="仿宋_GB2312" w:eastAsia="仿宋_GB2312"/>
                <w:sz w:val="21"/>
                <w:color w:val="0A82E5"/>
              </w:rPr>
              <w:t>净含量</w:t>
            </w:r>
            <w:r>
              <w:rPr>
                <w:rFonts w:ascii="仿宋_GB2312" w:hAnsi="仿宋_GB2312" w:cs="仿宋_GB2312" w:eastAsia="仿宋_GB2312"/>
                <w:sz w:val="21"/>
                <w:color w:val="0A82E5"/>
              </w:rPr>
              <w:t>50kg/袋</w:t>
            </w:r>
          </w:p>
          <w:p>
            <w:pPr>
              <w:pStyle w:val="null5"/>
              <w:jc w:val="both"/>
            </w:pPr>
            <w:r>
              <w:rPr>
                <w:rFonts w:ascii="仿宋_GB2312" w:hAnsi="仿宋_GB2312" w:cs="仿宋_GB2312" w:eastAsia="仿宋_GB2312"/>
                <w:sz w:val="21"/>
                <w:color w:val="0A82E5"/>
              </w:rPr>
              <w:t>④形态：中小颗粒</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标的名称：复合肥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color w:val="0A82E5"/>
              </w:rPr>
              <w:t>复合肥：</w:t>
            </w:r>
          </w:p>
          <w:p>
            <w:pPr>
              <w:pStyle w:val="null5"/>
              <w:jc w:val="both"/>
            </w:pPr>
            <w:r>
              <w:rPr>
                <w:rFonts w:ascii="仿宋_GB2312" w:hAnsi="仿宋_GB2312" w:cs="仿宋_GB2312" w:eastAsia="仿宋_GB2312"/>
                <w:sz w:val="21"/>
                <w:color w:val="0A82E5"/>
              </w:rPr>
              <w:t>①16%≥氮（N）≥13%</w:t>
            </w:r>
          </w:p>
          <w:p>
            <w:pPr>
              <w:pStyle w:val="null5"/>
              <w:jc w:val="both"/>
            </w:pPr>
            <w:r>
              <w:rPr>
                <w:rFonts w:ascii="仿宋_GB2312" w:hAnsi="仿宋_GB2312" w:cs="仿宋_GB2312" w:eastAsia="仿宋_GB2312"/>
                <w:sz w:val="21"/>
                <w:color w:val="0A82E5"/>
              </w:rPr>
              <w:t>②16%≥磷（以P2O5计）≥13%</w:t>
            </w:r>
          </w:p>
          <w:p>
            <w:pPr>
              <w:pStyle w:val="null5"/>
              <w:jc w:val="both"/>
            </w:pPr>
            <w:r>
              <w:rPr>
                <w:rFonts w:ascii="仿宋_GB2312" w:hAnsi="仿宋_GB2312" w:cs="仿宋_GB2312" w:eastAsia="仿宋_GB2312"/>
                <w:sz w:val="21"/>
                <w:color w:val="0A82E5"/>
              </w:rPr>
              <w:t>③16%≥钾（以K2O计）≥13%</w:t>
            </w:r>
          </w:p>
          <w:p>
            <w:pPr>
              <w:pStyle w:val="null5"/>
              <w:jc w:val="both"/>
            </w:pPr>
            <w:r>
              <w:rPr>
                <w:rFonts w:ascii="仿宋_GB2312" w:hAnsi="仿宋_GB2312" w:cs="仿宋_GB2312" w:eastAsia="仿宋_GB2312"/>
                <w:sz w:val="21"/>
                <w:color w:val="0A82E5"/>
              </w:rPr>
              <w:t>④总含量≥45%</w:t>
            </w:r>
          </w:p>
          <w:p>
            <w:pPr>
              <w:pStyle w:val="null5"/>
              <w:jc w:val="both"/>
            </w:pPr>
            <w:r>
              <w:rPr>
                <w:rFonts w:ascii="仿宋_GB2312" w:hAnsi="仿宋_GB2312" w:cs="仿宋_GB2312" w:eastAsia="仿宋_GB2312"/>
                <w:sz w:val="21"/>
                <w:color w:val="0A82E5"/>
              </w:rPr>
              <w:t>⑤形态：颗粒</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标的名称：大量元素水溶肥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color w:val="0A82E5"/>
              </w:rPr>
              <w:t>大量元素水溶肥：</w:t>
            </w:r>
          </w:p>
          <w:p>
            <w:pPr>
              <w:pStyle w:val="null5"/>
              <w:jc w:val="both"/>
            </w:pPr>
            <w:r>
              <w:rPr>
                <w:rFonts w:ascii="仿宋_GB2312" w:hAnsi="仿宋_GB2312" w:cs="仿宋_GB2312" w:eastAsia="仿宋_GB2312"/>
                <w:sz w:val="21"/>
                <w:color w:val="0A82E5"/>
              </w:rPr>
              <w:t>①160g/L≥氮（N）≥130g/L</w:t>
            </w:r>
          </w:p>
          <w:p>
            <w:pPr>
              <w:pStyle w:val="null5"/>
              <w:jc w:val="both"/>
            </w:pPr>
            <w:r>
              <w:rPr>
                <w:rFonts w:ascii="仿宋_GB2312" w:hAnsi="仿宋_GB2312" w:cs="仿宋_GB2312" w:eastAsia="仿宋_GB2312"/>
                <w:sz w:val="21"/>
                <w:color w:val="0A82E5"/>
              </w:rPr>
              <w:t>②160g/L≥磷（以P2O5计）≥130g/L</w:t>
            </w:r>
          </w:p>
          <w:p>
            <w:pPr>
              <w:pStyle w:val="null5"/>
              <w:jc w:val="both"/>
            </w:pPr>
            <w:r>
              <w:rPr>
                <w:rFonts w:ascii="仿宋_GB2312" w:hAnsi="仿宋_GB2312" w:cs="仿宋_GB2312" w:eastAsia="仿宋_GB2312"/>
                <w:sz w:val="21"/>
                <w:color w:val="0A82E5"/>
              </w:rPr>
              <w:t>③160g/L≥钾（以K2O计）≥130g/L</w:t>
            </w:r>
          </w:p>
          <w:p>
            <w:pPr>
              <w:pStyle w:val="null5"/>
              <w:jc w:val="both"/>
            </w:pPr>
            <w:r>
              <w:rPr>
                <w:rFonts w:ascii="仿宋_GB2312" w:hAnsi="仿宋_GB2312" w:cs="仿宋_GB2312" w:eastAsia="仿宋_GB2312"/>
                <w:sz w:val="21"/>
                <w:color w:val="0A82E5"/>
              </w:rPr>
              <w:t>④总含量≥450g/L</w:t>
            </w:r>
          </w:p>
          <w:p>
            <w:pPr>
              <w:pStyle w:val="null5"/>
              <w:jc w:val="both"/>
            </w:pPr>
            <w:r>
              <w:rPr>
                <w:rFonts w:ascii="仿宋_GB2312" w:hAnsi="仿宋_GB2312" w:cs="仿宋_GB2312" w:eastAsia="仿宋_GB2312"/>
                <w:sz w:val="21"/>
                <w:color w:val="0A82E5"/>
              </w:rPr>
              <w:t>⑤形态：水剂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技术部分56.00分</w:t>
            </w:r>
          </w:p>
          <w:p>
            <w:pPr>
              <w:pStyle w:val="null5"/>
              <w:jc w:val="left"/>
            </w:pPr>
            <w:r>
              <w:rPr>
                <w:rFonts w:ascii="仿宋_GB2312" w:hAnsi="仿宋_GB2312" w:cs="仿宋_GB2312" w:eastAsia="仿宋_GB2312"/>
              </w:rPr>
              <w:t>商务部分14.00分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技术参数响应性</w:t>
            </w:r>
          </w:p>
        </w:tc>
        <w:tc>
          <w:tcPr>
            <w:tcW w:type="dxa" w:w="3115"/>
          </w:tcPr>
          <w:p>
            <w:pPr>
              <w:pStyle w:val="null5"/>
              <w:jc w:val="left"/>
            </w:pPr>
            <w:r>
              <w:rPr>
                <w:rFonts w:ascii="仿宋_GB2312" w:hAnsi="仿宋_GB2312" w:cs="仿宋_GB2312" w:eastAsia="仿宋_GB2312"/>
              </w:rPr>
              <w:t>根据投标人提供产品的技术参数、配置、性能是否满足招标文件要求进行评审。完全满足招标文件要求的得14分，每有一项负偏离或不满足扣1分，扣完为止。(须提供检测报告或技术白皮书或说明书或网站截图或合格证等佐证资料)</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内容完整性与编制水平</w:t>
            </w:r>
          </w:p>
        </w:tc>
        <w:tc>
          <w:tcPr>
            <w:tcW w:type="dxa" w:w="3115"/>
          </w:tcPr>
          <w:p>
            <w:pPr>
              <w:pStyle w:val="null5"/>
              <w:jc w:val="left"/>
            </w:pPr>
            <w:r>
              <w:rPr>
                <w:rFonts w:ascii="仿宋_GB2312" w:hAnsi="仿宋_GB2312" w:cs="仿宋_GB2312" w:eastAsia="仿宋_GB2312"/>
              </w:rPr>
              <w:t>根据投标人出具的方案进行评审，内容需包含供货方案、项目进度计划及措施、质量保证方案及措施、应急方案及措施、培训方案、售后服务方案等。方案完整详实、科学合理、能有效指导项目实施得6分；方案较全面、可操作性较强得4分；方案方案内容不完整、无重点得2分；方案内容与本项目无关或不贴合本项目实际得1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投标人针对本项目制定的供货方案进行评审（包括但不限于供货周期、供货进度计划、人员安排、包装及运输安排施等内容）。供货方案完整详实、供货进度计划科学合理、包装及运输安装方案完整合理、组织安排得当得6分；供货方案较完整详实、供货进度计划较合理、包装及运输安装方案较完整合理、组织安排较得当得4分；供货方案基本完整详实、供货进度计划基本合理、包装及运输安装方案基本完整合理、组织安排基本得当得2分；供货方案内容简单、供货进度计划合理性较差、包装及运输安装方案简单、合理性较差、组织安排较差得1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项目进度计划及措施</w:t>
            </w:r>
          </w:p>
        </w:tc>
        <w:tc>
          <w:tcPr>
            <w:tcW w:type="dxa" w:w="3115"/>
          </w:tcPr>
          <w:p>
            <w:pPr>
              <w:pStyle w:val="null5"/>
              <w:jc w:val="left"/>
            </w:pPr>
            <w:r>
              <w:rPr>
                <w:rFonts w:ascii="仿宋_GB2312" w:hAnsi="仿宋_GB2312" w:cs="仿宋_GB2312" w:eastAsia="仿宋_GB2312"/>
              </w:rPr>
              <w:t>根据投标人针对本项目制定的项目进度计划及措施进行评审（包括但不限于供货实施方案、验收方案、进度保证体系及措施等内容）。进度计划与措施完全满足以上要求且详细、切实可行，时间节点安排明确有序得6分；进度计划与措施较为完善，能满足本项目实际得4分；进度计划与措施基本满足本项目实际得2分；进度计划与措施较差，无法满足本项目实际得1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质量保证方案及措施</w:t>
            </w:r>
          </w:p>
        </w:tc>
        <w:tc>
          <w:tcPr>
            <w:tcW w:type="dxa" w:w="3115"/>
          </w:tcPr>
          <w:p>
            <w:pPr>
              <w:pStyle w:val="null5"/>
              <w:jc w:val="left"/>
            </w:pPr>
            <w:r>
              <w:rPr>
                <w:rFonts w:ascii="仿宋_GB2312" w:hAnsi="仿宋_GB2312" w:cs="仿宋_GB2312" w:eastAsia="仿宋_GB2312"/>
              </w:rPr>
              <w:t>根据投标人针对本项目制定的质量保证方案及措施进行评审（包括但不限于质量保证体系、质量控制计划等内容）。措施内容详尽，能够充分满足、切合本项目需求得6分；措施方案较为完善，能够满足本项目需求得4分；措施不详尽，基本满足本项目需求得2分；措施较差，无法满足本项目需求得1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应急方案及措施</w:t>
            </w:r>
          </w:p>
        </w:tc>
        <w:tc>
          <w:tcPr>
            <w:tcW w:type="dxa" w:w="3115"/>
          </w:tcPr>
          <w:p>
            <w:pPr>
              <w:pStyle w:val="null5"/>
              <w:jc w:val="left"/>
            </w:pPr>
            <w:r>
              <w:rPr>
                <w:rFonts w:ascii="仿宋_GB2312" w:hAnsi="仿宋_GB2312" w:cs="仿宋_GB2312" w:eastAsia="仿宋_GB2312"/>
              </w:rPr>
              <w:t>根据投标人针对本项目制定的应急方案及措施进行评审(如临近供货期限调配货物不足，验收时货物的数量、质量不合格等问题的处理能力等)，方案完整、详实、阐述清晰、可操作性强，满足项目需求的得6分；方案内容较全面、较合理，得4分；方案内容不完整、无重点、操作性不强得2分；方案内容与本项目无关或不贴合本项目实际得1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人针对本项目制定的培训方案进行评审（围绕本项目采购货物的正确使用、合理保管等相关内容）。方案完整、详实、阐述清晰、重点突出、科学合理、可操作性强，满足项目需求的得6分；培训方案完善合理，有详细的培训计划且能形成培训体系，得4分；方案内容不完整、无培训重点、操作性不强得2分；方案内容与本项目无关或不贴合本项目实际得1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人针对本项目制定的售后服务方案进行评审（包括但不限于售后响应时间、售后响应措施、备品备件支持方案、售后服务人员配备等内容）。方案内容全面详细，配备人员充足、措施得当、科学合理，实际可行，能够切实、有效指导项目实施，得6分；方案内容较为全面，措施较为合理，可操作性可行，能够指导项目实施，得4分；方案内容基本全面，措施基本合理，可操作性基本可行，基本能够指导项目实施，得2分；方案内容与本项目无关或不贴合本项目实际得1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投标人近三年（2022年至今）承接过类似项目业绩，每提供一项得1分，最多得9分。 （注：投标文件中须提供中标通知书或合同扫描件，以合同签订日期或中标通知书日期为准，不提供不得分。）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本项目配置供货、培训、售后服务人员情况，人员安排科学合理，有助于本项目按计划实施得5分；人员安排具有合理性，不影响本项目实施得3分；人员安排欠合理，有可能影响本项目实施得1分；不提供人员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