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2025年劳务外包服务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乌海市林业和草原建设服务中心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内蒙古华格项目管理咨询有限公司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WHZCS-C-F-250001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内蒙古华格项目管理咨询有限公司</w:t>
      </w:r>
      <w:r>
        <w:rPr>
          <w:rFonts w:ascii="仿宋_GB2312" w:hAnsi="仿宋_GB2312" w:cs="仿宋_GB2312" w:eastAsia="仿宋_GB2312"/>
        </w:rPr>
        <w:t xml:space="preserve"> 受 </w:t>
      </w:r>
      <w:r>
        <w:rPr>
          <w:rFonts w:ascii="仿宋_GB2312" w:hAnsi="仿宋_GB2312" w:cs="仿宋_GB2312" w:eastAsia="仿宋_GB2312"/>
        </w:rPr>
        <w:t>乌海市林业和草原建设服务中心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2025年劳务外包服务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2025年劳务外包服务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1,466,364.00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乌海市林业和草原建设服务中心2025年劳务外包服务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1,466,364.00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内蒙古华格项目管理咨询有限公司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乌海市海勃湾区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孟庆丽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15149790230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乌海市林业和草原建设服务中心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乌海市海勃湾区双拥东街37-2</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贺涛</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15384738628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代理服务费收费标准：成交金额的1%，不足壹万元，按壹万元收取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乌海市林业和草原建设服务中心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内蒙古华格项目管理咨询有限公司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确保乌海市林业和草原建设服务中心管辖范围内各林地片区、泵站及沉沙蓄水池安全生产有序运行，同时结合中心实际生产的需要，对部分岗位开展劳务外包服务，根据采购限额标准，通过内蒙古政府采购云平台开展政府采购工作，由中标供应商提供劳务外包人员，以保障林草生态工作的安全稳定。根据我中心实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同价款形式</w:t>
            </w:r>
            <w:r>
              <w:rPr>
                <w:rFonts w:ascii="仿宋_GB2312" w:hAnsi="仿宋_GB2312" w:cs="仿宋_GB2312" w:eastAsia="仿宋_GB2312"/>
                <w:sz w:val="19"/>
                <w:color w:val="000000"/>
              </w:rPr>
              <w:t>：</w:t>
            </w:r>
            <w:r>
              <w:rPr>
                <w:rFonts w:ascii="仿宋_GB2312" w:hAnsi="仿宋_GB2312" w:cs="仿宋_GB2312" w:eastAsia="仿宋_GB2312"/>
                <w:sz w:val="19"/>
                <w:color w:val="000000"/>
              </w:rPr>
              <w:t>固定总价</w:t>
            </w:r>
            <w:r>
              <w:rPr>
                <w:rFonts w:ascii="仿宋_GB2312" w:hAnsi="仿宋_GB2312" w:cs="仿宋_GB2312" w:eastAsia="仿宋_GB2312"/>
                <w:sz w:val="19"/>
                <w:color w:val="000000"/>
              </w:rPr>
              <w:t>合同</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spacing w:before="90"/>
              <w:ind w:left="105" w:right="10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同一公司分支机构投标的视为同一投标人，单位负责人为同一人或者存在直接控股、管理关系的不同供应商，不得参加同一合同项下的政府采购活动。</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评标委员会或磋商小组</w:t>
            </w:r>
            <w:r>
              <w:rPr>
                <w:rFonts w:ascii="仿宋_GB2312" w:hAnsi="仿宋_GB2312" w:cs="仿宋_GB2312" w:eastAsia="仿宋_GB2312"/>
                <w:sz w:val="19"/>
                <w:color w:val="000000"/>
              </w:rPr>
              <w:t>认为供应商的报价明显低于其他通过符合性审查供应商报价，有可能影响服务质量或者不能诚信履约的，应当要求其在评审现场合理的时间内提供书面说明，必要时提交相关证明材料；供应商不能证明其报价合理性的，评标委员会应当将其作为无效标处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标的名称：乌海市林业和草原建设服务中心2025年劳务外包服务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75"/>
              <w:ind w:right="150"/>
              <w:jc w:val="left"/>
            </w:pPr>
            <w:r>
              <w:rPr>
                <w:rFonts w:ascii="仿宋_GB2312" w:hAnsi="仿宋_GB2312" w:cs="仿宋_GB2312" w:eastAsia="仿宋_GB2312"/>
                <w:sz w:val="19"/>
                <w:color w:val="0000FF"/>
              </w:rPr>
              <w:t>总体要求：需要拟对</w:t>
            </w:r>
            <w:r>
              <w:rPr>
                <w:rFonts w:ascii="仿宋_GB2312" w:hAnsi="仿宋_GB2312" w:cs="仿宋_GB2312" w:eastAsia="仿宋_GB2312"/>
                <w:sz w:val="19"/>
                <w:color w:val="0000FF"/>
              </w:rPr>
              <w:t>14个工作岗位进行劳务外包服务，共需29名人员。安全生产类岗位（14人）包括：防火检查站值守、视频监控室值班、防火巡查、泵站值守及夜勤等。生产运行类岗位（15人）包括：特种车辆驾驶员、泵站值班员、库管、视频监控设备维修、保洁人员。</w:t>
            </w:r>
          </w:p>
          <w:p>
            <w:pPr>
              <w:pStyle w:val="null5"/>
              <w:spacing w:before="75"/>
              <w:ind w:right="150"/>
              <w:jc w:val="left"/>
            </w:pPr>
            <w:r>
              <w:rPr>
                <w:rFonts w:ascii="仿宋_GB2312" w:hAnsi="仿宋_GB2312" w:cs="仿宋_GB2312" w:eastAsia="仿宋_GB2312"/>
                <w:sz w:val="19"/>
                <w:color w:val="0000FF"/>
              </w:rPr>
              <w:t>1、安全生产类岗位</w:t>
            </w:r>
          </w:p>
          <w:p>
            <w:pPr>
              <w:pStyle w:val="null5"/>
              <w:spacing w:before="75"/>
              <w:ind w:right="150"/>
              <w:jc w:val="left"/>
            </w:pP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包括：防火检查站值守、视频监控室值班、防火巡查、泵站值守及夜勤等。</w:t>
            </w:r>
          </w:p>
          <w:p>
            <w:pPr>
              <w:pStyle w:val="null5"/>
              <w:spacing w:before="75"/>
              <w:ind w:right="150"/>
              <w:jc w:val="left"/>
            </w:pPr>
            <w:r>
              <w:rPr>
                <w:rFonts w:ascii="仿宋_GB2312" w:hAnsi="仿宋_GB2312" w:cs="仿宋_GB2312" w:eastAsia="仿宋_GB2312"/>
                <w:sz w:val="19"/>
                <w:color w:val="0000FF"/>
              </w:rPr>
              <w:t>负责在重要防火节点节日夜间对甘德尔山生态治理区内的观音寺沉沙蓄水池、九支道沉沙蓄水池、大人工沉沙蓄水池、海北苗圃沉沙蓄水池等泵站设施进行值班巡查，同时负责沉沙蓄水池的安全管理，严禁任何人员在蓄水池有游泳，嬉水，垂钓活动发生。做好泵站的安全保卫工作，防止人为破坏和盗窃。负责生态治理区内森林草原进行巡逻，同时安排人员在防火视频监控室进行</w:t>
            </w:r>
            <w:r>
              <w:rPr>
                <w:rFonts w:ascii="仿宋_GB2312" w:hAnsi="仿宋_GB2312" w:cs="仿宋_GB2312" w:eastAsia="仿宋_GB2312"/>
                <w:sz w:val="19"/>
                <w:color w:val="0000FF"/>
              </w:rPr>
              <w:t>24小时轮岗值班，密切关注火灾隐患。对进入生态治理区的人员进行防火宣传和劝导，严禁携带火种进入，严禁林区内露营、烧烤、聚会等活动。同时配备必要的灭火设备，在发现火情时能够迅速采取措施进行扑救，并及时报告相关部门。在重点防火期包括清明、中元节、春节、冬至、十月初一、正月十五等重要防火节点节日夜间开展防火备勤值班，要求特种车辆司机驾驶员负责驾驶消防车、洒水车、在生态治理区内进行巡逻和应急处置。</w:t>
            </w:r>
          </w:p>
          <w:p>
            <w:pPr>
              <w:pStyle w:val="null5"/>
              <w:spacing w:before="75"/>
              <w:ind w:right="150"/>
              <w:jc w:val="left"/>
            </w:pPr>
            <w:r>
              <w:rPr>
                <w:rFonts w:ascii="仿宋_GB2312" w:hAnsi="仿宋_GB2312" w:cs="仿宋_GB2312" w:eastAsia="仿宋_GB2312"/>
                <w:sz w:val="19"/>
                <w:color w:val="0000FF"/>
              </w:rPr>
              <w:t>2、生产运行类岗位</w:t>
            </w:r>
          </w:p>
          <w:p>
            <w:pPr>
              <w:pStyle w:val="null5"/>
              <w:spacing w:before="75"/>
              <w:ind w:right="150"/>
              <w:jc w:val="left"/>
            </w:pPr>
            <w:r>
              <w:rPr>
                <w:rFonts w:ascii="仿宋_GB2312" w:hAnsi="仿宋_GB2312" w:cs="仿宋_GB2312" w:eastAsia="仿宋_GB2312"/>
                <w:sz w:val="19"/>
                <w:color w:val="0000FF"/>
              </w:rPr>
              <w:t>包括：特种车辆驾驶员、泵站值班员、库管、视频监控设备维修、保洁人员。</w:t>
            </w:r>
          </w:p>
          <w:p>
            <w:pPr>
              <w:pStyle w:val="null5"/>
              <w:jc w:val="left"/>
            </w:pPr>
            <w:r>
              <w:rPr>
                <w:rFonts w:ascii="仿宋_GB2312" w:hAnsi="仿宋_GB2312" w:cs="仿宋_GB2312" w:eastAsia="仿宋_GB2312"/>
                <w:sz w:val="19"/>
                <w:color w:val="0000FF"/>
              </w:rPr>
              <w:t>特种车辆驾驶员根据中心管理人员要求，驾驶现有铲车、挖机、水车等特种车辆开展生产作业，同时负责确保特种车辆的正常运行和维护保养，随时准备应对突发情况。泵站值班员负责监测泵站设备运行状态，及时发现设备故障，并及时上报异常情况。甘德山生态治理区生产资料库管人员负责生产资料出入库领用管理及盘点。视频监控及泵站远程控制系统维修人员负责确保视频监控设备及泵站远程控制系统持续稳定安全运行。同时安排劳务人员对甘德山生态治理区东西景观路、市局机关林地等位置开展保洁及防火护林工作，营造干净整洁和谐有序的生态文明氛围。</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9"/>
                <w:color w:val="0000FF"/>
              </w:rPr>
              <w:t>人员要求：根据岗位需具备一定的机械电气知识，熟悉泵站设备的操作和维护。有责任心，能够认真履行值班职责，确保泵站安全运行，了解防火知识，熟悉生态治理区的地形地貌和火灾隐患点。具备较强的沟通能力和应变能力，能够有效地进行防火宣传和劝导。特种车辆驾驶员持有相应的驾驶证和特种车辆操作证，具备熟练的驾驶技能。熟悉特种车辆的性能和维护保养，能够及时处理车辆故障。</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19"/>
                <w:color w:val="0000FF"/>
              </w:rPr>
              <w:t>管理与监督：由各片区生产队长与中标供应商共同对劳务服务人员开展日常管理和监督。建立考勤制度，严格记录临时工的工作时间和工作表现。定期对临时工进行培训和考核，提高其业务水平和工作能力。</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75"/>
              <w:ind w:right="150"/>
              <w:jc w:val="left"/>
            </w:pPr>
            <w:r>
              <w:rPr>
                <w:rFonts w:ascii="仿宋_GB2312" w:hAnsi="仿宋_GB2312" w:cs="仿宋_GB2312" w:eastAsia="仿宋_GB2312"/>
                <w:sz w:val="19"/>
                <w:color w:val="0000FF"/>
              </w:rPr>
              <w:t>安全保障：为临时工提供必要的劳动保护用品，确保其工作安全。</w:t>
            </w:r>
          </w:p>
          <w:p>
            <w:pPr>
              <w:pStyle w:val="null5"/>
              <w:jc w:val="left"/>
            </w:pPr>
            <w:r>
              <w:rPr>
                <w:rFonts w:ascii="仿宋_GB2312" w:hAnsi="仿宋_GB2312" w:cs="仿宋_GB2312" w:eastAsia="仿宋_GB2312"/>
                <w:sz w:val="19"/>
                <w:color w:val="0000FF"/>
              </w:rPr>
              <w:t>要求中标供应商购买意外伤害保险、雇主责任险，并开展入职体检，为临时工提供安全保障。同时部分工作岗位人员需依法缴纳养老保险、失业保险、工伤保险、医疗保险等社会保险。</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spacing w:before="75"/>
              <w:ind w:right="150"/>
              <w:jc w:val="left"/>
            </w:pPr>
            <w:r>
              <w:rPr>
                <w:rFonts w:ascii="仿宋_GB2312" w:hAnsi="仿宋_GB2312" w:cs="仿宋_GB2312" w:eastAsia="仿宋_GB2312"/>
                <w:sz w:val="19"/>
                <w:color w:val="0000FF"/>
              </w:rPr>
              <w:t>报价明细表详见附件一</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审查供应商商业信誉及财务状况良好的证明材料或承诺书。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审查供应商提供的依法缴纳税收和社会保障资金的相关证明材料或承诺书。 注：其他组织和自然人也需要提供缴纳税收的凭据及缴纳社保的凭据。依法免税或不需要缴纳社会保障资金的供应商，应提供相应文件证明其依法免税或不需要缴纳社会保障资金。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进行评审：管理思路明确可行，能够体现符合采购单位特色管理模式和管理机制的得15分，管理思路基本明确，能够体现符合采购单位特色管理模式和管理机制的得9分，管理思路一般，能够体现符合采购单位特色管理模式和管理机制的得6分，管理思路不明确，未体现符合采购单位特色管理模式和管理机制的得3分，内容不完整、叙述不清楚、有明显错漏或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服务人员的组织结构、配置方案</w:t>
            </w:r>
          </w:p>
        </w:tc>
        <w:tc>
          <w:tcPr>
            <w:tcW w:type="dxa" w:w="3115"/>
          </w:tcPr>
          <w:p>
            <w:pPr>
              <w:pStyle w:val="null5"/>
              <w:jc w:val="left"/>
            </w:pPr>
            <w:r>
              <w:rPr>
                <w:rFonts w:ascii="仿宋_GB2312" w:hAnsi="仿宋_GB2312" w:cs="仿宋_GB2312" w:eastAsia="仿宋_GB2312"/>
              </w:rPr>
              <w:t>根据供应商提的组织结构、配置方案进行评审：结构合理性好、方案优秀可行的得15分；结构合理、方案较好的得9分；结构一般合理、方案可行的得6分；结构较差、方案较差的得3分；不合理、不可行或不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针对服务人员进行培训的方案（包括服务人员培训方式、培训内容、培训次数等）进行评审：方案优秀、符合实际可行的得10分；方案合理较好、可行的得7分；方案一般、可行的得4分；方案较差的得1分；不合理、不可行或不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服务项目管理内容及制度</w:t>
            </w:r>
          </w:p>
        </w:tc>
        <w:tc>
          <w:tcPr>
            <w:tcW w:type="dxa" w:w="3115"/>
          </w:tcPr>
          <w:p>
            <w:pPr>
              <w:pStyle w:val="null5"/>
              <w:jc w:val="left"/>
            </w:pPr>
            <w:r>
              <w:rPr>
                <w:rFonts w:ascii="仿宋_GB2312" w:hAnsi="仿宋_GB2312" w:cs="仿宋_GB2312" w:eastAsia="仿宋_GB2312"/>
              </w:rPr>
              <w:t>根据供应商提供的服务项目管理内容及制度进行评审：服务人员的人员配备速度（能保证森林防火尽快开展）、管理内容及制度优秀、符合实际可行的得16分；管理内容及制度合理较好、可行的得12分；管 理内容及制度一般、可行的得8分；管理内容及制度较差的得4分；不合理 、不可行或不提供的得0分。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岗位责任制、防火和卫生方面控制实施方案</w:t>
            </w:r>
          </w:p>
        </w:tc>
        <w:tc>
          <w:tcPr>
            <w:tcW w:type="dxa" w:w="3115"/>
          </w:tcPr>
          <w:p>
            <w:pPr>
              <w:pStyle w:val="null5"/>
              <w:jc w:val="left"/>
            </w:pPr>
            <w:r>
              <w:rPr>
                <w:rFonts w:ascii="仿宋_GB2312" w:hAnsi="仿宋_GB2312" w:cs="仿宋_GB2312" w:eastAsia="仿宋_GB2312"/>
              </w:rPr>
              <w:t>根据供应商提供的岗位责任制、防火和安全方面控制实施方案进行评审：方案优秀齐全、符合实际可行的得10分；方案合理较好较齐全、可行的得7分；方案一般、可行的得4分；方案较差的得1分；不合理、不可行或不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专项防火方案</w:t>
            </w:r>
          </w:p>
        </w:tc>
        <w:tc>
          <w:tcPr>
            <w:tcW w:type="dxa" w:w="3115"/>
          </w:tcPr>
          <w:p>
            <w:pPr>
              <w:pStyle w:val="null5"/>
              <w:jc w:val="left"/>
            </w:pPr>
            <w:r>
              <w:rPr>
                <w:rFonts w:ascii="仿宋_GB2312" w:hAnsi="仿宋_GB2312" w:cs="仿宋_GB2312" w:eastAsia="仿宋_GB2312"/>
              </w:rPr>
              <w:t>根据供应商提供的不同区域的防火方案以及对于突发事件的应急预案、应急事件的专项人员配备、应急事件的响应速度等专项养护方案进行评审：方案优秀齐全、符合实际可行的得14分；方案合理较好较齐全、可行的得9分；方案一般、 可行的得7分；方案较差的得2分；不合理、不可行或不提供的得0分。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 供应商每完成过一项类似服务业绩得2分，本项最高得6分(响应文件须附合同扫描件，合同内容清晰可辨，签字、签章齐全)。</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拟派项目管理人员资格</w:t>
            </w:r>
          </w:p>
        </w:tc>
        <w:tc>
          <w:tcPr>
            <w:tcW w:type="dxa" w:w="3115"/>
          </w:tcPr>
          <w:p>
            <w:pPr>
              <w:pStyle w:val="null5"/>
              <w:jc w:val="left"/>
            </w:pPr>
            <w:r>
              <w:rPr>
                <w:rFonts w:ascii="仿宋_GB2312" w:hAnsi="仿宋_GB2312" w:cs="仿宋_GB2312" w:eastAsia="仿宋_GB2312"/>
              </w:rPr>
              <w:t>1.拟派特种车辆驾驶员每有一人持有相应的驾驶证和特种车辆操作者得1分，最高得2分（响应文件须附证书或证件扫描件，同一人具备多个证书时不重复计分。） 2.拟派项目管理人员每有一人具备有效的劳动合同的，得1分，最高得2分（响应文件须附劳动合同扫描件）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