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G110国道K1048+645不停车称重检测系统完善项目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乌海市交通运输综合行政执法支队</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内蒙古久兴项目咨询有限公司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WHZCS-C-G-250008</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内蒙古久兴项目咨询有限公司</w:t>
      </w:r>
      <w:r>
        <w:rPr>
          <w:rFonts w:ascii="仿宋_GB2312" w:hAnsi="仿宋_GB2312" w:cs="仿宋_GB2312" w:eastAsia="仿宋_GB2312"/>
        </w:rPr>
        <w:t xml:space="preserve"> 受 </w:t>
      </w:r>
      <w:r>
        <w:rPr>
          <w:rFonts w:ascii="仿宋_GB2312" w:hAnsi="仿宋_GB2312" w:cs="仿宋_GB2312" w:eastAsia="仿宋_GB2312"/>
        </w:rPr>
        <w:t>乌海市交通运输综合行政执法支队</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G110国道K1048+645不停车称重检测系统完善项目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G110国道K1048+645不停车称重检测系统完善项目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WHZCS-C-G-250008</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乌海政采计划[2025]00083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1,301,144.00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G110国道K1048+645不停车称重检测系统完善项目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1,301,144.00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1、资质要求：①具有住房和城乡建设行政主管部门颁发的公路交通工程（公路机电工程分项）专业承包二级及以上等级资质。 ②具备有效的安全生产许可证；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内蒙古久兴项目咨询有限公司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内蒙古自治区乌海市海勃湾区海北西街北二街坊天宸花开四季A座106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016040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金瑞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13015090003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乌海市交通运输综合行政执法支队</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海勃湾区甘德尔东街25号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郝旭</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13947342151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代理服务费收费标准：按中标金额1.2%收取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乌海市交通运输综合行政执法支队</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内蒙古久兴项目咨询有限公司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G110国道K1048+645不停车称重检测系统完善项目内的总则、路基工程、路面工程、安全设施及预埋管线及非现场执法系统工程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签订合同后三个月内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合同中约定</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1、按工程进度支付，达到付款条件起30日，支付合同总金额的95.00%</w:t>
            </w:r>
          </w:p>
          <w:p>
            <w:pPr>
              <w:pStyle w:val="null5"/>
              <w:jc w:val="left"/>
            </w:pPr>
            <w:r>
              <w:rPr>
                <w:rFonts w:ascii="仿宋_GB2312" w:hAnsi="仿宋_GB2312" w:cs="仿宋_GB2312" w:eastAsia="仿宋_GB2312"/>
              </w:rPr>
              <w:t>2、竣工验收结算后，质保一年后支付，达到付款条件起30日，支付合同总金额的5.00%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标的名称：G110国道K1048+645不停车称重检测系统完善项目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详见文件附件工程量清单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①具有住房和城乡建设行政主管部门颁发的公路交通工程（公路机电工程分项）专业承包二级及以上等级资质。 ②具备有效的安全生产许可证；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技术部分68.00分</w:t>
            </w:r>
          </w:p>
          <w:p>
            <w:pPr>
              <w:pStyle w:val="null5"/>
              <w:jc w:val="left"/>
            </w:pPr>
            <w:r>
              <w:rPr>
                <w:rFonts w:ascii="仿宋_GB2312" w:hAnsi="仿宋_GB2312" w:cs="仿宋_GB2312" w:eastAsia="仿宋_GB2312"/>
              </w:rPr>
              <w:t>商务部分22.00分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施工管理目标</w:t>
            </w:r>
          </w:p>
        </w:tc>
        <w:tc>
          <w:tcPr>
            <w:tcW w:type="dxa" w:w="3115"/>
          </w:tcPr>
          <w:p>
            <w:pPr>
              <w:pStyle w:val="null5"/>
              <w:jc w:val="left"/>
            </w:pPr>
            <w:r>
              <w:rPr>
                <w:rFonts w:ascii="仿宋_GB2312" w:hAnsi="仿宋_GB2312" w:cs="仿宋_GB2312" w:eastAsia="仿宋_GB2312"/>
              </w:rPr>
              <w:t xml:space="preserve"> 1、质量控制管理目标； 2、工期控制管理目标； 3、安全生产控制管理目标；4、文明施工现场控制管理目标。方案包括以上4项关键内容，每小项内容中存在缺陷得1分；每小项内容无缺陷得2.5分；未提供不得分。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的情况,方案里对施工流程的阐述不够清晰，导致施工人员难以准确按照其执行；所选用的施工工艺、材料等与本项目实际条件不匹配，无法保障施工质量和进度；涉及的数据、参数等存在错误或不合理之处，不能真实反映项目情况等问题。</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施工组织部署</w:t>
            </w:r>
          </w:p>
        </w:tc>
        <w:tc>
          <w:tcPr>
            <w:tcW w:type="dxa" w:w="3115"/>
          </w:tcPr>
          <w:p>
            <w:pPr>
              <w:pStyle w:val="null5"/>
              <w:jc w:val="left"/>
            </w:pPr>
            <w:r>
              <w:rPr>
                <w:rFonts w:ascii="仿宋_GB2312" w:hAnsi="仿宋_GB2312" w:cs="仿宋_GB2312" w:eastAsia="仿宋_GB2312"/>
              </w:rPr>
              <w:t>1、有健全的组织机构，管理人员配置合理，明确了施工员、材料员、资料员、质检员、安全员等有关人员的职责与权限；2、施工平面布置考虑周到、布局合理、切实可行；3、施工准备与施工资源计划配置合理；4、有详细的工种配置、合理齐全的用工和人员计划。方案包括以上4项关键内容，每小项内容中存在缺陷得1分；每小项内容无缺陷得2.5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的情况,方案里对施工流程的阐述不够清晰，导致施工人员难以准确按照其执行；所选用的施工工艺、材料等与本项目实际条件不匹配，无法保障施工质量和进度；涉及的数据、参数等存在错误或不合理之处，不能真实反映项目情况等问题。</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施工技术措施</w:t>
            </w:r>
          </w:p>
        </w:tc>
        <w:tc>
          <w:tcPr>
            <w:tcW w:type="dxa" w:w="3115"/>
          </w:tcPr>
          <w:p>
            <w:pPr>
              <w:pStyle w:val="null5"/>
              <w:jc w:val="left"/>
            </w:pPr>
            <w:r>
              <w:rPr>
                <w:rFonts w:ascii="仿宋_GB2312" w:hAnsi="仿宋_GB2312" w:cs="仿宋_GB2312" w:eastAsia="仿宋_GB2312"/>
              </w:rPr>
              <w:t>1、主要分部分项工程施工方案和技术措施；2、图纸审查、技术交底，材料检验，工程质量检查和验收，技术档案等一整套技术管理制度是否健全；3、有针对性地提出了工程可能出现质量通病部位和处理对策。方案包括以上3项关键内容，每小项内容中存在缺陷得2分；每小项内容无缺陷得4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的情况,方案里对施工流程的阐述不够清晰，导致施工人员难以准确按照其执行；所选用的施工工艺、材料等与本项目实际条件不匹配，无法保障施工质量和进度；涉及的数据、参数等存在错误或不合理之处，不能真实反映项目情况等问题。</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质量管理体系与保证措施（12分）</w:t>
            </w:r>
          </w:p>
        </w:tc>
        <w:tc>
          <w:tcPr>
            <w:tcW w:type="dxa" w:w="3115"/>
          </w:tcPr>
          <w:p>
            <w:pPr>
              <w:pStyle w:val="null5"/>
              <w:jc w:val="left"/>
            </w:pPr>
            <w:r>
              <w:rPr>
                <w:rFonts w:ascii="仿宋_GB2312" w:hAnsi="仿宋_GB2312" w:cs="仿宋_GB2312" w:eastAsia="仿宋_GB2312"/>
              </w:rPr>
              <w:t xml:space="preserve"> 1、施工质量保证体系和质量检查监督机构健全，并有有效的控制措施和手段；2、材料进场质量保证和二次检验制度落实；3、冬雨季施工措施明确；4、各分部分项工程质量控制目标明确；5、有成品保护措施；6、有工程质量回访和保修制度。 方案包括以上6项关键内容，每小项内容中存在缺陷得1分；每小项内容无缺陷得2分；未提供不得分。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的情况,方案里对施工流程的阐述不够清晰，导致施工人员难以准确按照其执行；所选用的施工工艺、材料等与本项目实际条件不匹配，无法保障施工质量和进度；涉及的数据、参数等存在错误或不合理之处，不能真实反映项目情况等问题。</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安全文明目标及保证措施</w:t>
            </w:r>
          </w:p>
        </w:tc>
        <w:tc>
          <w:tcPr>
            <w:tcW w:type="dxa" w:w="3115"/>
          </w:tcPr>
          <w:p>
            <w:pPr>
              <w:pStyle w:val="null5"/>
              <w:jc w:val="left"/>
            </w:pPr>
            <w:r>
              <w:rPr>
                <w:rFonts w:ascii="仿宋_GB2312" w:hAnsi="仿宋_GB2312" w:cs="仿宋_GB2312" w:eastAsia="仿宋_GB2312"/>
              </w:rPr>
              <w:t>1、建立了施工安全保障体系，施工现场管理人员安全生产职责明确；2、施工安全保证目标或创文明工地目标明确，针对工程特点、周边环境和施工工艺，确定危险源并制定具体的防护措施； 3、施工现场临时用电、消防及保卫应编制专项施工方案；4、针对项目实际具有完整的措施和应急救援预案及抵抗风险的措施；5、施工现场扫黑除恶的管理办法和措施；6、施工现场的文明工地管理方案、措施（创城、创卫）。7、环保管理体系与措施，环境保护措施安全得力，减少噪音，降低环境污染；方案包括以上7项关键内容，每小项内容中存在缺陷得0.5分；每小项内容无缺陷得1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的情况,方案里对施工流程的阐述不够清晰，导致施工人员难以准确按照其执行；所选用的施工工艺、材料等与本项目实际条件不匹配，无法保障施工质量和进度；涉及的数据、参数等存在错误或不合理之处，不能真实反映项目情况等问题。</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施工进度计划及工期保证措施</w:t>
            </w:r>
          </w:p>
        </w:tc>
        <w:tc>
          <w:tcPr>
            <w:tcW w:type="dxa" w:w="3115"/>
          </w:tcPr>
          <w:p>
            <w:pPr>
              <w:pStyle w:val="null5"/>
              <w:jc w:val="left"/>
            </w:pPr>
            <w:r>
              <w:rPr>
                <w:rFonts w:ascii="仿宋_GB2312" w:hAnsi="仿宋_GB2312" w:cs="仿宋_GB2312" w:eastAsia="仿宋_GB2312"/>
              </w:rPr>
              <w:t>1、施工进度计划及工期保证措施；2、有具体的施工进度网络图（或横道图），标注各专业工程进度的横道图线准确、清楚、合理，符合实际施工进度要求，各专业工程施工配合明确、科学；3、施工总进度计划是否符合招标文件规定的工期要求。方案包括以上3项关键内容，每小项内容中存在缺陷得1分；每小项内容无缺陷得2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的情况,方案里对施工流程的阐述不够清晰，导致施工人员难以准确按照其执行；所选用的施工工艺、材料等与本项目实际条件不匹配，无法保障施工质量和进度；涉及的数据、参数等存在错误或不合理之处，不能真实反映项目情况等问题。</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施工机械、设备配置</w:t>
            </w:r>
          </w:p>
        </w:tc>
        <w:tc>
          <w:tcPr>
            <w:tcW w:type="dxa" w:w="3115"/>
          </w:tcPr>
          <w:p>
            <w:pPr>
              <w:pStyle w:val="null5"/>
              <w:jc w:val="left"/>
            </w:pPr>
            <w:r>
              <w:rPr>
                <w:rFonts w:ascii="仿宋_GB2312" w:hAnsi="仿宋_GB2312" w:cs="仿宋_GB2312" w:eastAsia="仿宋_GB2312"/>
              </w:rPr>
              <w:t xml:space="preserve"> 1、施工机械配置合理、先进且满足安全技术规范和施工进度需要；2、落实了施工机械、设备的使用、维护、保养制度；3、工程中所有使用的机械、设备计划落实，来源明确，并有明细表。方案包括以上3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表述模糊不清，不符合采购内容与技术要求的情况,方案里对施工流程的阐述不够清晰，导致施工人员难以准确按照其执行；所选用的施工工艺、材料等与本项目实际条件不匹配，无法保障施工质量和进度；涉及的数据、参数等存在错误或不合理之处，不能真实反映项目情况等问题。</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项目管理机构</w:t>
            </w:r>
          </w:p>
        </w:tc>
        <w:tc>
          <w:tcPr>
            <w:tcW w:type="dxa" w:w="3115"/>
          </w:tcPr>
          <w:p>
            <w:pPr>
              <w:pStyle w:val="null5"/>
              <w:jc w:val="left"/>
            </w:pPr>
            <w:r>
              <w:rPr>
                <w:rFonts w:ascii="仿宋_GB2312" w:hAnsi="仿宋_GB2312" w:cs="仿宋_GB2312" w:eastAsia="仿宋_GB2312"/>
              </w:rPr>
              <w:t xml:space="preserve"> 评标委员会针对投标文件项目机构组成人员中配备的技术负责人（公路工程相关专业中级及以上职称）、安全员（安全考核合格证C）每人得3.5分；材料员、预算员/造价员/造价师任意增派1人得1分，最高得2分。本项最高得9分（提供以上人员证书、劳动合同及近半年内任意1个月社会保险缴纳证明扫描件并加盖公章，人员不得重复）</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 xml:space="preserve"> 投标企业近年来（2020年1月1日至今，以签订合同日期为准）所承建的类似工程业绩（类似工程指：包含监控设施或通信设施工程或公路治超系统等），每有一项得2.5分，此项最多得10分。 提供中标（成交）通知书和施工合同扫描件并加盖公章</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 xml:space="preserve"> 投标单位通过质量管理体系认证、环境管理体系认证及职业健康安全管理体系认证并在有效期内，每有一项得1分，最多得3分。（提供证书扫描件并加盖公章）</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