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海勃湾区机关事务服务中心公务用车平台服务项目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乌海市海勃湾区机关事务服务中心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内蒙古鸿德工程项目管理有限公司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WHZCHBS-C-F-250002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内蒙古鸿德工程项目管理有限公司</w:t>
      </w:r>
      <w:r>
        <w:rPr>
          <w:rFonts w:ascii="仿宋_GB2312" w:hAnsi="仿宋_GB2312" w:cs="仿宋_GB2312" w:eastAsia="仿宋_GB2312"/>
        </w:rPr>
        <w:t xml:space="preserve"> 受 </w:t>
      </w:r>
      <w:r>
        <w:rPr>
          <w:rFonts w:ascii="仿宋_GB2312" w:hAnsi="仿宋_GB2312" w:cs="仿宋_GB2312" w:eastAsia="仿宋_GB2312"/>
        </w:rPr>
        <w:t>乌海市海勃湾区机关事务服务中心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海勃湾区机关事务服务中心公务用车平台服务项目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海勃湾区机关事务服务中心公务用车平台服务项目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WHZCHBS-C-F-250002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海区政采计划[2025]00010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2,793,233.00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乌海市海勃湾区机关事务服务中心公务用车平台服务项目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2,793,233.00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1、许可证：具有在有效期内的由主管部门颁发的《劳务派遣经营许可证》及《人力资源服务许可证》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时间： 2025年01月17日 至 2025年01月23日 ，每天上午 00:00:00 至 12:00:00 ，下午 12:00:00 至 23:59:59 （北京时间,法定节假日除外） 地点：内蒙古自治区政府采购网 方式：在线获取。获取采购文件时，需登录“政府采购云平台”，按照“交易执行→应标→项目应标→未参与项目”步骤，填写联系人相关信息确认参与后，即为成功“在线获取”。</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内蒙古鸿德工程项目管理有限公司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内蒙古自治区乌海市海勃湾区和平东街北九街坊明日星城住宅小区23#商业楼-118号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高屹立</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15374644446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乌海市海勃湾区机关事务服务中心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海北大街一号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薛菁忠</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13394730763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代理服务费收费标准：招标代理服务费由中标（成交）供应商支付，收费标准以中标价为基数，参照内蒙古自治区工程建设协会【2022】34号关于印发《内蒙古自治区建设工程招标代理服务收费指导意见》80%收取。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本项目不分包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乌海市海勃湾区机关事务服务中心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内蒙古鸿德工程项目管理有限公司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档案管理、车辆调度、中小客车出车服务、大客车出车服务等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1、按合同约定执行季度支付，达到付款条件起5日，支付合同总金额的25.00%</w:t>
            </w:r>
          </w:p>
          <w:p>
            <w:pPr>
              <w:pStyle w:val="null5"/>
              <w:jc w:val="left"/>
            </w:pPr>
            <w:r>
              <w:rPr>
                <w:rFonts w:ascii="仿宋_GB2312" w:hAnsi="仿宋_GB2312" w:cs="仿宋_GB2312" w:eastAsia="仿宋_GB2312"/>
              </w:rPr>
              <w:t>2、按合同约定执行季度支付，达到付款条件起5日，支付合同总金额的25.00%</w:t>
            </w:r>
          </w:p>
          <w:p>
            <w:pPr>
              <w:pStyle w:val="null5"/>
              <w:jc w:val="left"/>
            </w:pPr>
            <w:r>
              <w:rPr>
                <w:rFonts w:ascii="仿宋_GB2312" w:hAnsi="仿宋_GB2312" w:cs="仿宋_GB2312" w:eastAsia="仿宋_GB2312"/>
              </w:rPr>
              <w:t>3、按合同约定执行季度支付，达到付款条件起5日，支付合同总金额的25.00%</w:t>
            </w:r>
          </w:p>
          <w:p>
            <w:pPr>
              <w:pStyle w:val="null5"/>
              <w:jc w:val="left"/>
            </w:pPr>
            <w:r>
              <w:rPr>
                <w:rFonts w:ascii="仿宋_GB2312" w:hAnsi="仿宋_GB2312" w:cs="仿宋_GB2312" w:eastAsia="仿宋_GB2312"/>
              </w:rPr>
              <w:t>4、按合同约定执行季度支付，达到付款条件起5日，支付合同总金额的25.00%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标的名称：乌海市海勃湾区机关事务服务中心公务用车平台服务项目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大客车出车服务：提供准时准点出车服务;出车前提前做好各项检查工作;按照规定对公务车进行日常管理及送修工作;负贵公务车年检、保险等事项的办理;负贵车辆的清洗工作;负责积极配合处理出车中出现的交通事故;拥有A1驾驶证，人员至少2人</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中小客车出车服务：提供准时准点出车服务:出车前提前做好各项检查工作;按照规定对公务车进行日常管理及送修工作;负贵公务车年检、保险等事项的办理:负责车辆的清洗工作;负责积极配合处理出车中出现的交通事故:拥有C本及以上驾驶证;人员至少26人。</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管理服务：</w:t>
            </w:r>
          </w:p>
          <w:p>
            <w:pPr>
              <w:pStyle w:val="null5"/>
              <w:jc w:val="left"/>
            </w:pPr>
            <w:r>
              <w:rPr>
                <w:rFonts w:ascii="仿宋_GB2312" w:hAnsi="仿宋_GB2312" w:cs="仿宋_GB2312" w:eastAsia="仿宋_GB2312"/>
              </w:rPr>
              <w:t>1.优化用车资源配置，提高车辆的使用效率。</w:t>
            </w:r>
            <w:r>
              <w:br/>
            </w:r>
            <w:r>
              <w:rPr>
                <w:rFonts w:ascii="仿宋_GB2312" w:hAnsi="仿宋_GB2312" w:cs="仿宋_GB2312" w:eastAsia="仿宋_GB2312"/>
              </w:rPr>
              <w:t xml:space="preserve"> 2.简化用车申请及审批流程，提升服务效率。</w:t>
            </w:r>
            <w:r>
              <w:br/>
            </w:r>
            <w:r>
              <w:rPr>
                <w:rFonts w:ascii="仿宋_GB2312" w:hAnsi="仿宋_GB2312" w:cs="仿宋_GB2312" w:eastAsia="仿宋_GB2312"/>
              </w:rPr>
              <w:t xml:space="preserve"> 3.加强对车辆的日常维护与管理，确保出行安全。</w:t>
            </w:r>
            <w:r>
              <w:br/>
            </w:r>
            <w:r>
              <w:rPr>
                <w:rFonts w:ascii="仿宋_GB2312" w:hAnsi="仿宋_GB2312" w:cs="仿宋_GB2312" w:eastAsia="仿宋_GB2312"/>
              </w:rPr>
              <w:t xml:space="preserve"> 4.建立健全数据统计与分析机制，为决策提供支持。  </w:t>
            </w:r>
          </w:p>
          <w:p>
            <w:pPr>
              <w:pStyle w:val="null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 xml:space="preserve"> 审查供应商营业执照等证明文件或者身份证明。（复印件加盖公章）</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审查投标人2022-2023年度经会计师事务所出具的财务审计报告或其基本开户银行出具的近2年内的银行资信证明。（复印件加盖公章）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提供递交投标文件截止之日前一年内（至少一个月）的良好缴纳税收的相关凭据。 提供递交响应文件截止之日前一年内（至少一个月）缴纳社会保险的凭证。（注：其他组织和自然人也需要提供缴纳税收的凭据金额缴纳社保的凭据。依法免税或不需要缴纳社会保障资金的供应商，应提供相应文件证明其依法免税或不需要缴纳社会保障资金。（复印件加盖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信用中国”网站(www.creditchina.gov.cn)中未被列入重大税收违法失信主体、“中国执行信息公开网”网站中未被列入失信被执行人名单、在“中国政府采购网”网站中未被列入政府采购严重违法失信行为记录名单。（提供网站查询结果网页截图并加盖单位公章）</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许可证</w:t>
            </w:r>
          </w:p>
        </w:tc>
        <w:tc>
          <w:tcPr>
            <w:tcW w:type="dxa" w:w="4984"/>
          </w:tcPr>
          <w:p>
            <w:pPr>
              <w:pStyle w:val="null5"/>
              <w:jc w:val="left"/>
            </w:pPr>
            <w:r>
              <w:rPr>
                <w:rFonts w:ascii="仿宋_GB2312" w:hAnsi="仿宋_GB2312" w:cs="仿宋_GB2312" w:eastAsia="仿宋_GB2312"/>
              </w:rPr>
              <w:t>具有在有效期内的由主管部门颁发的《劳务派遣经营许可证》及《人力资源服务许可证》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不收取</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项目理解情况</w:t>
            </w:r>
          </w:p>
        </w:tc>
        <w:tc>
          <w:tcPr>
            <w:tcW w:type="dxa" w:w="3115"/>
          </w:tcPr>
          <w:p>
            <w:pPr>
              <w:pStyle w:val="null5"/>
              <w:jc w:val="left"/>
            </w:pPr>
            <w:r>
              <w:rPr>
                <w:rFonts w:ascii="仿宋_GB2312" w:hAnsi="仿宋_GB2312" w:cs="仿宋_GB2312" w:eastAsia="仿宋_GB2312"/>
              </w:rPr>
              <w:t>根据项目方案对项目需求内容理解、方案重点是否明确、特点是否突出、技术方案整体描述清晰详细、服务项目完善、可实施性强。 （1）方案重点明确、特点突出、整体描述清晰详细、服务项目完善、可实施性强的得8分； （2）方案重点较明确、特点较突出、整体描述较清晰详细、服务项目较完善、可实施性较强的得6分； （3）方案重点和特点一般、整体描述一般、服务项目一般、可实施性一般的得4分； （4）方案重点不明确、无特点、整体描述不清晰、服务项目不完善、可实施性差的得2分。 （5）不提供不得分。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磋商小组对各供应商针对本项目的服务方案进行打分。 （1）整体方案完整、合理、可行、针对性强，能够很好完成服务任务，重点难点分析深入切合实际，可操作性强，完全满足磋商文件要求，得12分； （2）整体方案较为完整、较为合理、较为可行，能够较好完成服务任务，重点难点分析较为深入切合实际，有可操作性，满足磋商文件要求，得9分； （3）整体方案基本完整、基本合理、基本可行，基本完成服务任务，基本满足磋商文件要求，得6分； （4）整体方案不够完整、不够合理、不够可行，不能够很好完成服务任务，难以满足磋商文件要求，得3分； （5）未提供不得分。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项目运行机制及服务人员配置方案</w:t>
            </w:r>
          </w:p>
        </w:tc>
        <w:tc>
          <w:tcPr>
            <w:tcW w:type="dxa" w:w="3115"/>
          </w:tcPr>
          <w:p>
            <w:pPr>
              <w:pStyle w:val="null5"/>
              <w:jc w:val="left"/>
            </w:pPr>
            <w:r>
              <w:rPr>
                <w:rFonts w:ascii="仿宋_GB2312" w:hAnsi="仿宋_GB2312" w:cs="仿宋_GB2312" w:eastAsia="仿宋_GB2312"/>
              </w:rPr>
              <w:t>根据供应商提供的项目运行机制及服务人员配置方案进行评审，最高18分。包括组织架构（3分），人员岗位职责（3分），人员管理制度（3分），人员培训方案（3分），人员配置稳定保障措施（3分）人员协调管理措施（3分）进行评分，各分项内容全面、合理、得当，完全满足项目需求的，每有一项得3分；较完全满足项目需求的，每有一项得2分；基本满足项目需求的，每有一项得1分；不提供的不得分。</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车辆管理制度</w:t>
            </w:r>
          </w:p>
        </w:tc>
        <w:tc>
          <w:tcPr>
            <w:tcW w:type="dxa" w:w="3115"/>
          </w:tcPr>
          <w:p>
            <w:pPr>
              <w:pStyle w:val="null5"/>
              <w:jc w:val="left"/>
            </w:pPr>
            <w:r>
              <w:rPr>
                <w:rFonts w:ascii="仿宋_GB2312" w:hAnsi="仿宋_GB2312" w:cs="仿宋_GB2312" w:eastAsia="仿宋_GB2312"/>
              </w:rPr>
              <w:t>磋商小组对各供应商针对本项目的车辆管理制度措施进行打分，满分8分。 （1）完整、合理、可行、针对性强，能很好的保障服务工作的完成，完全满足磋商文件要求，得8分； （2）较为完整、较为合理、较为可行，能保障服务工作的完成，满足磋商文件要求，得6分； （3）基本完整、基本合理、基本可行，能保障服务工作的完成，基本满足磋商文件要求，得4分； （4）不够完整、不够合理、不够可行，不能保障服务工作的完成，难以满足磋商文件要求，得2分； （5）未提供不得分。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磋商小组对各供应商针对本项目的服务承诺及响应进行打分，满分6分。 （1）完整、合理、可行、针对性强，能很好的实现工作目标，完全满足磋商文件要求，得8分； （2）较为完整、较为合理、较为可行、针对性强，能实现工作目标，满足磋商文件要求，得6分； （3）基本完整、基本合理、基本可行，能实现工作目标，基本满足磋商文件要求，得4分； （4）不够完整、不够合理、不够可行，不能实现工作目标，难以满足磋商文件要求，得2分； （5）未提供不得分。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磋商小组对各供应商针对本项目的应急预案进行打分，满分8分。 （1）完整、合理、可行、针对性强，能很好的保障服务工作的完成，完全满足磋商文件要求，得8分； （2）较为完整、较为合理、较为可行，能保障服务工作的完成，满足磋商文件要求，得6分； （3）基本完整、基本合理、基本可行，能保障服务工作的完成，基本满足磋商文件要求，得4分； （4）不够完整、不够合理、不够可行，不能保障服务工作的完成，难以满足磋商文件要求，得2分； （5）未提供不得分。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完成同类型业绩，以提供的供应商自身合同为准（合同包括合同首页、合同金额所在页、服务内容所在页、签字盖章页复印件并加盖供应商公章）。每提供一个在投标截止日前三个年度内（2022年12月至今）签署的同类型合同得3分，最高得12分。 注：（1）本款可作为得分的合同仅指供应商自身的合同。即还让他中的乙方必须与供应商的名称完全一致； （2）证明材料不完整或不符合以上内容要求或不清晰，导致无法判断是否符合以上以上要求的，不得分。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管理团队</w:t>
            </w:r>
          </w:p>
        </w:tc>
        <w:tc>
          <w:tcPr>
            <w:tcW w:type="dxa" w:w="3115"/>
          </w:tcPr>
          <w:p>
            <w:pPr>
              <w:pStyle w:val="null5"/>
              <w:jc w:val="left"/>
            </w:pPr>
            <w:r>
              <w:rPr>
                <w:rFonts w:ascii="仿宋_GB2312" w:hAnsi="仿宋_GB2312" w:cs="仿宋_GB2312" w:eastAsia="仿宋_GB2312"/>
              </w:rPr>
              <w:t>投标人针对本项目组建相应的管理团队,管理团队中具有： 1、一级人力资源管理师，每配备一个得3分，最高得6分； 2、二级人力资源管理师，每配备一个得2分，最高得4分； 本项最高得6分，投标文件提供上述人员的证书复印件，并提供连续三个月（不含投标截止之日当月）为上述人员购买社保的证明材料（加盖社保部门公章或者电子印章）或者有效的劳动合同复印件，上述资料加盖投标人公章，未提供或者提供的证明文件不符合要求的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