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海南区金海园三期安置房建设项目配套基础设施给排水供热管网工程项目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乌海市海南区住房和城乡建设局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恒泰工程咨询集团有限公司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WHZCHNS-C-G-250002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恒泰工程咨询集团有限公司</w:t>
      </w:r>
      <w:r>
        <w:rPr>
          <w:rFonts w:ascii="仿宋_GB2312" w:hAnsi="仿宋_GB2312" w:cs="仿宋_GB2312" w:eastAsia="仿宋_GB2312"/>
        </w:rPr>
        <w:t xml:space="preserve"> 受 </w:t>
      </w:r>
      <w:r>
        <w:rPr>
          <w:rFonts w:ascii="仿宋_GB2312" w:hAnsi="仿宋_GB2312" w:cs="仿宋_GB2312" w:eastAsia="仿宋_GB2312"/>
        </w:rPr>
        <w:t>乌海市海南区住房和城乡建设局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海南区金海园三期安置房建设项目配套基础设施给排水供热管网工程项目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海南区金海园三期安置房建设项目配套基础设施给排水供热管网工程项目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WHZCHNS-C-G-250002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海南政采计划[2025]00003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1,800,702.00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给排水供热管网工程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1,800,702.00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1、资质证书：供应商须具备有效期内的【市政公用工程施工总承包】二级（含二级）以上资质或【市政公用工程施工总承包】乙级(含乙级)以上资质，具备有效期内的安全生产许可证</w:t>
      </w:r>
    </w:p>
    <w:p>
      <w:pPr>
        <w:pStyle w:val="null5"/>
        <w:jc w:val="left"/>
      </w:pPr>
      <w:r>
        <w:rPr>
          <w:rFonts w:ascii="仿宋_GB2312" w:hAnsi="仿宋_GB2312" w:cs="仿宋_GB2312" w:eastAsia="仿宋_GB2312"/>
        </w:rPr>
        <w:t>2、项目经理：供应商拟派项目经理须具备市政公用工程二级及以上注册建造师执业资格证书，有效的安全生产考核合格证书，且未担任其他在施建设工程项目的项目经理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恒泰工程咨询集团有限公司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呼和浩特市赛罕区东影南路博雅园6号楼5层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吴飞霞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0471-3121052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乌海市海南区住房和城乡建设局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海南区巴彦乌素大街28号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李卫平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13947313712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代理服务费收费标准：参照内蒙古自治区工程建设协会关于印发《内蒙古自治区建设工程招标代理服务费收费指导意见》的通知（内工建协【2022】34号） 计算收取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本项目不涉及</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乌海市海南区住房和城乡建设局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恒泰工程咨询集团有限公司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1、海南区金海园三期安置房建设项目配套基础设施给排水供热管网工程项目，具体详见工程量清单 2、成交供应商须按照响应文件承诺配置项目人员，项目人员在施工期间必须驻项目现场，否则，视为成交供应商恶意不履行与采购人订立的合同，成交人履约保证金将不予退还，采购人还将按照每日1000元进行扣款，同时采购人有权提请有关行政监督部门依照《建设工程质量管理条例》等相关法律法规的规定进行处理。（供应商须提供承诺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合同签订并收到开工通知后60日历天内完成，具体开竣工时间以施工合同约定为准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乌海市海南区拉僧仲地区，西临海拉路，南临巴音陶亥街西街，东临广场路</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1、支付比例60%，管道敷设完成，经采购人及监理验收完毕后支付至合同价款的60%，达到付款条件起30日，支付合同总金额的60.00%</w:t>
            </w:r>
          </w:p>
          <w:p>
            <w:pPr>
              <w:pStyle w:val="null5"/>
              <w:jc w:val="left"/>
            </w:pPr>
            <w:r>
              <w:rPr>
                <w:rFonts w:ascii="仿宋_GB2312" w:hAnsi="仿宋_GB2312" w:cs="仿宋_GB2312" w:eastAsia="仿宋_GB2312"/>
              </w:rPr>
              <w:t>2、支付比例20%，工程竣工并提交全套工程资料后经采购人及监理验收合格，支付至合同价款的80%；，达到付款条件起30日，支付合同总金额的20.00%</w:t>
            </w:r>
          </w:p>
          <w:p>
            <w:pPr>
              <w:pStyle w:val="null5"/>
              <w:jc w:val="left"/>
            </w:pPr>
            <w:r>
              <w:rPr>
                <w:rFonts w:ascii="仿宋_GB2312" w:hAnsi="仿宋_GB2312" w:cs="仿宋_GB2312" w:eastAsia="仿宋_GB2312"/>
              </w:rPr>
              <w:t>3、支付比例15%，工程全部竣工经采购人及监理验收合格、协助取得排水许可证、审计部门审计完成后，付至审定价的95%；，达到付款条件起30日，支付合同总金额的15.00%</w:t>
            </w:r>
          </w:p>
          <w:p>
            <w:pPr>
              <w:pStyle w:val="null5"/>
              <w:jc w:val="left"/>
            </w:pPr>
            <w:r>
              <w:rPr>
                <w:rFonts w:ascii="仿宋_GB2312" w:hAnsi="仿宋_GB2312" w:cs="仿宋_GB2312" w:eastAsia="仿宋_GB2312"/>
              </w:rPr>
              <w:t>4、支付比例5%，剩余5%作为质保金(质保期二年)，质保期满后无质量问题全部支付完成，达到付款条件起30日，支付合同总金额的5.00%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标的名称：给排水供热管网工程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详见工程量清单及图纸</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供应商须具备有效期内的【市政公用工程施工总承包】二级（含二级）以上资质或【市政公用工程施工总承包】乙级(含乙级)以上资质，具备有效期内的安全生产许可证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供应商拟派项目经理须具备市政公用工程二级及以上注册建造师执业资格证书，有效的安全生产考核合格证书，且未担任其他在施建设工程项目的项目经理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w:t>
            </w:r>
          </w:p>
        </w:tc>
        <w:tc>
          <w:tcPr>
            <w:tcW w:type="dxa" w:w="3115"/>
          </w:tcPr>
          <w:p>
            <w:pPr>
              <w:pStyle w:val="null5"/>
              <w:jc w:val="left"/>
            </w:pPr>
            <w:r>
              <w:rPr>
                <w:rFonts w:ascii="仿宋_GB2312" w:hAnsi="仿宋_GB2312" w:cs="仿宋_GB2312" w:eastAsia="仿宋_GB2312"/>
              </w:rPr>
              <w:t>根据供应商提供的施工方案进行评审，施工技术方案合理且能指导施工得0-5分（含），内容具体且有针对性，施工部署全面的得0-5分（含）。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根据供应商提供的质量保障措施进行评审，质量保证措施完整得0-5分（含），先进可行、有针对本工程的通病治理措施的得0-5分（含）。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根据各供应商提供的安全文明施工方案评审，安全管理体系健全得0-3分（含），单位工程安全防护方案符合国家及地方管理规定得0-3分（含），防护措施有针对性、可行性强得0-4分（含）。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根据各供应商提供的环境保护管理体系方案评审，环境保护管理体系方案健全得0-5分（含），防止环境污染、减少扰民、降低噪声等保证文明施工措施合理有效得0-5分（含）。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w:t>
            </w:r>
          </w:p>
        </w:tc>
        <w:tc>
          <w:tcPr>
            <w:tcW w:type="dxa" w:w="3115"/>
          </w:tcPr>
          <w:p>
            <w:pPr>
              <w:pStyle w:val="null5"/>
              <w:jc w:val="left"/>
            </w:pPr>
            <w:r>
              <w:rPr>
                <w:rFonts w:ascii="仿宋_GB2312" w:hAnsi="仿宋_GB2312" w:cs="仿宋_GB2312" w:eastAsia="仿宋_GB2312"/>
              </w:rPr>
              <w:t>根据各供应商提供的项目进度计划评审，具备完善的进度计划表，项目进度计划合理、可行，细致充分，措施得力，能保证施工进度计划安排合理得0-3分（含），关键节点、关键线路明确得0-3分（含），在技术、组织、经济等方面有可靠的保证措施得0-4分（含）。</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资源配备计划（包含但不限于拟投入的设备、劳动力、资金等）内容详细得0-3分（含），可行性强得0-2分（含）。</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供应商提供2022年1月1日至今完成的与本项目类似业绩，每提供一项得2分，最多得10分。 注：类似业绩以签订的施工合同为准，业绩日期以施工合同的签订日期为准，响应文件中须附施工合同扫描件的封面、合同内容关键页、盖章页。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拟派项目管理 机构</w:t>
            </w:r>
          </w:p>
        </w:tc>
        <w:tc>
          <w:tcPr>
            <w:tcW w:type="dxa" w:w="3115"/>
          </w:tcPr>
          <w:p>
            <w:pPr>
              <w:pStyle w:val="null5"/>
              <w:jc w:val="left"/>
            </w:pPr>
            <w:r>
              <w:rPr>
                <w:rFonts w:ascii="仿宋_GB2312" w:hAnsi="仿宋_GB2312" w:cs="仿宋_GB2312" w:eastAsia="仿宋_GB2312"/>
              </w:rPr>
              <w:t>拟派项目管理机构人员结构合理、专业配备齐全，配备施工员、安全员、质检员/质量员、资料员、材料员，配备齐全得3分，不齐全不得分。 注：安全员提供有效期内的安全生产考核合格证，其他人员提供有效的资格证书或岗位证书</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体系认证证书</w:t>
            </w:r>
          </w:p>
        </w:tc>
        <w:tc>
          <w:tcPr>
            <w:tcW w:type="dxa" w:w="3115"/>
          </w:tcPr>
          <w:p>
            <w:pPr>
              <w:pStyle w:val="null5"/>
              <w:jc w:val="left"/>
            </w:pPr>
            <w:r>
              <w:rPr>
                <w:rFonts w:ascii="仿宋_GB2312" w:hAnsi="仿宋_GB2312" w:cs="仿宋_GB2312" w:eastAsia="仿宋_GB2312"/>
              </w:rPr>
              <w:t>供应商同时具备有效期内的质量管理体系认证证书、环境保护管理体系认证证书、职业健康管理体系认证证书，齐全得2分，缺一项不得分。 注：响应文件须附证书扫描件，且均在有效期内。</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磋商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