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海南产业园综合服务中心重大安全风险防控运营项目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内蒙古乌海高新技术产业开发区海南产业园综合服务中心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内蒙古鸿德工程项目管理有限公司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WHZCHNS-C-F-250004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内蒙古鸿德工程项目管理有限公司</w:t>
      </w:r>
      <w:r>
        <w:rPr>
          <w:rFonts w:ascii="仿宋_GB2312" w:hAnsi="仿宋_GB2312" w:cs="仿宋_GB2312" w:eastAsia="仿宋_GB2312"/>
        </w:rPr>
        <w:t xml:space="preserve"> 受 </w:t>
      </w:r>
      <w:r>
        <w:rPr>
          <w:rFonts w:ascii="仿宋_GB2312" w:hAnsi="仿宋_GB2312" w:cs="仿宋_GB2312" w:eastAsia="仿宋_GB2312"/>
        </w:rPr>
        <w:t>内蒙古乌海高新技术产业开发区海南产业园综合服务中心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海南产业园综合服务中心重大安全风险防控运营项目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海南产业园综合服务中心重大安全风险防控运营项目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WHZCHNS-C-F-250004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海南政采计划[2025]00005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3,292,650.00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海南产业园综合服务中心重大安全风险防控运营项目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3,292,650.00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内蒙古鸿德工程项目管理有限公司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内蒙古自治区乌海市海勃湾区内蒙古自治区乌海市海勃湾区和平东街北九街坊明日星城住宅小区23#商业楼-118号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高屹立</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15374644446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内蒙古乌海高新技术产业开发区海南产业园综合服务中心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乌海市海南区老石旦东街14号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张升</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13654734573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代理服务费收费标准：招标代理服务费由中标（成交）供应商支付，收费标准以中标价为基数，参照内蒙古自治区工程建设协会【2022】34号关于印发《内蒙古自治区建设工程招标代理服务收费指导意见》80%收取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内蒙古乌海高新技术产业开发区海南产业园综合服务中心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内蒙古鸿德工程项目管理有限公司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海南产业园综合服务中心重大安全风险防控运营项目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1、期次1，说明：一至三季度自行组织验收，第四季度由第三方审计，以审计结果为验收标准</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乌海市海南区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1、按季度服务完成后自行组织验收后支付，达到付款条件起15日，支付合同总金额的25.00%</w:t>
            </w:r>
          </w:p>
          <w:p>
            <w:pPr>
              <w:pStyle w:val="null5"/>
              <w:jc w:val="left"/>
            </w:pPr>
            <w:r>
              <w:rPr>
                <w:rFonts w:ascii="仿宋_GB2312" w:hAnsi="仿宋_GB2312" w:cs="仿宋_GB2312" w:eastAsia="仿宋_GB2312"/>
              </w:rPr>
              <w:t>2、按季度服务完成后自行组织验收后支付，达到付款条件起15日，支付合同总金额的25.00%</w:t>
            </w:r>
          </w:p>
          <w:p>
            <w:pPr>
              <w:pStyle w:val="null5"/>
              <w:jc w:val="left"/>
            </w:pPr>
            <w:r>
              <w:rPr>
                <w:rFonts w:ascii="仿宋_GB2312" w:hAnsi="仿宋_GB2312" w:cs="仿宋_GB2312" w:eastAsia="仿宋_GB2312"/>
              </w:rPr>
              <w:t>3、按季度服务完成后自行组织验收后支付，达到付款条件起15日，支付合同总金额的25.00%</w:t>
            </w:r>
          </w:p>
          <w:p>
            <w:pPr>
              <w:pStyle w:val="null5"/>
              <w:jc w:val="left"/>
            </w:pPr>
            <w:r>
              <w:rPr>
                <w:rFonts w:ascii="仿宋_GB2312" w:hAnsi="仿宋_GB2312" w:cs="仿宋_GB2312" w:eastAsia="仿宋_GB2312"/>
              </w:rPr>
              <w:t>4、最后季度服务完成后由第三方审计，以第三方审计结果作为支付依据，达到付款条件起15日，支付合同总金额的25.00%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在服务期限届满时，采购方将对服务标准进行客观评估。对于在服务中表现出色的供应商，将考虑给予续签服务合同</w:t>
              <w:br/>
              <w:t>的机会。续签的合同期限最长不超过三年，且将采取每年重新签订一次合同的方式进行。</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一年</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标的名称：海南产业园综合服务中心重大安全风险防控运营项目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98"/>
              <w:gridCol w:w="249"/>
              <w:gridCol w:w="320"/>
              <w:gridCol w:w="728"/>
              <w:gridCol w:w="130"/>
              <w:gridCol w:w="167"/>
              <w:gridCol w:w="249"/>
              <w:gridCol w:w="399"/>
              <w:gridCol w:w="207"/>
            </w:tblGrid>
            <w:tr>
              <w:tc>
                <w:tcPr>
                  <w:tcW w:type="dxa" w:w="2547"/>
                  <w:gridSpan w:val="9"/>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8"/>
                      <w:b/>
                      <w:color w:val="000000"/>
                    </w:rPr>
                    <w:t>乌海高新技术产业开发区海南产业园综合服务中心化工产业集中区重大安全风险防控运营服务工程量明细表</w:t>
                  </w:r>
                </w:p>
              </w:tc>
            </w:tr>
            <w:tr>
              <w:tc>
                <w:tcPr>
                  <w:tcW w:type="dxa" w:w="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b/>
                      <w:color w:val="000000"/>
                    </w:rPr>
                    <w:t>序号</w:t>
                  </w:r>
                </w:p>
              </w:tc>
              <w:tc>
                <w:tcPr>
                  <w:tcW w:type="dxa" w:w="24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b/>
                      <w:color w:val="000000"/>
                    </w:rPr>
                    <w:t>类别</w:t>
                  </w:r>
                </w:p>
              </w:tc>
              <w:tc>
                <w:tcPr>
                  <w:tcW w:type="dxa" w:w="32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b/>
                      <w:color w:val="000000"/>
                    </w:rPr>
                    <w:t>子项目</w:t>
                  </w:r>
                </w:p>
              </w:tc>
              <w:tc>
                <w:tcPr>
                  <w:tcW w:type="dxa" w:w="72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b/>
                      <w:color w:val="000000"/>
                    </w:rPr>
                    <w:t>服务内容</w:t>
                  </w:r>
                </w:p>
              </w:tc>
              <w:tc>
                <w:tcPr>
                  <w:tcW w:type="dxa" w:w="13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b/>
                      <w:color w:val="000000"/>
                    </w:rPr>
                    <w:t>数量</w:t>
                  </w:r>
                </w:p>
              </w:tc>
              <w:tc>
                <w:tcPr>
                  <w:tcW w:type="dxa" w:w="16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b/>
                      <w:color w:val="000000"/>
                    </w:rPr>
                    <w:t>单位</w:t>
                  </w:r>
                </w:p>
              </w:tc>
              <w:tc>
                <w:tcPr>
                  <w:tcW w:type="dxa" w:w="24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b/>
                      <w:color w:val="000000"/>
                    </w:rPr>
                    <w:t>最高单价（元）</w:t>
                  </w:r>
                </w:p>
              </w:tc>
              <w:tc>
                <w:tcPr>
                  <w:tcW w:type="dxa" w:w="3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b/>
                      <w:color w:val="000000"/>
                    </w:rPr>
                    <w:t>最高总价（元）</w:t>
                  </w:r>
                </w:p>
              </w:tc>
              <w:tc>
                <w:tcPr>
                  <w:tcW w:type="dxa" w:w="20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b/>
                      <w:color w:val="000000"/>
                    </w:rPr>
                    <w:t>备注</w:t>
                  </w: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1</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运营商租</w:t>
                  </w:r>
                  <w:r>
                    <w:rPr>
                      <w:rFonts w:ascii="仿宋_GB2312" w:hAnsi="仿宋_GB2312" w:cs="仿宋_GB2312" w:eastAsia="仿宋_GB2312"/>
                      <w:sz w:val="19"/>
                      <w:color w:val="000000"/>
                    </w:rPr>
                    <w:t>赁</w:t>
                  </w: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有线网络租赁</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停车场光纤一根(100M)，用于停车场监控网</w:t>
                  </w:r>
                  <w:r>
                    <w:rPr>
                      <w:rFonts w:ascii="仿宋_GB2312" w:hAnsi="仿宋_GB2312" w:cs="仿宋_GB2312" w:eastAsia="仿宋_GB2312"/>
                      <w:sz w:val="19"/>
                      <w:color w:val="000000"/>
                    </w:rPr>
                    <w:t>络传输</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1</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年</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3,000.00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3,000.00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2</w:t>
                  </w:r>
                </w:p>
              </w:tc>
              <w:tc>
                <w:tcPr>
                  <w:tcW w:type="dxa" w:w="24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短信平台</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短信通知，10000条/月，6分/条</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1</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年</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7,200.00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7,200.00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3</w:t>
                  </w:r>
                </w:p>
              </w:tc>
              <w:tc>
                <w:tcPr>
                  <w:tcW w:type="dxa" w:w="24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网站及小程序</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网站域名、微信小程序</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1</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年</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3,000.00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3,000.00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4</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运营服务人员</w:t>
                  </w: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项目负责人</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包括：项目整体运营管理，运营制度制定，运营安全，运营方案策划等</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1</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人/年</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120,000.00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120,000.00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5</w:t>
                  </w:r>
                </w:p>
              </w:tc>
              <w:tc>
                <w:tcPr>
                  <w:tcW w:type="dxa" w:w="24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管理人员</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包括：管理运营一线团队；配合项目负责人制定运营制度、方案策划；日常生产安全；运营情况汇总汇报等。3人</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3</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人/年</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93,000.00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279,000.00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6</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运营服务人员</w:t>
                  </w: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岗亭值守服务</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包括：对5座岗亭进行7×24小时现场值守服务三班轮岗制，值班人员全部经过岗前培训并考核通过后方可上岗，值班人员须按照国家规定加纳社保及医疗保险；值守岗亭保障园区安全运营，记录危化品车行车，收发GPS卡，保障非危化品车预约提交。15个人</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15</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人/年</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50,000.00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750,000.00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7</w:t>
                  </w:r>
                </w:p>
              </w:tc>
              <w:tc>
                <w:tcPr>
                  <w:tcW w:type="dxa" w:w="24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危化品车辆管</w:t>
                  </w:r>
                  <w:r>
                    <w:rPr>
                      <w:rFonts w:ascii="仿宋_GB2312" w:hAnsi="仿宋_GB2312" w:cs="仿宋_GB2312" w:eastAsia="仿宋_GB2312"/>
                      <w:sz w:val="19"/>
                      <w:color w:val="000000"/>
                    </w:rPr>
                    <w:t>理</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包括：对所有进出停车场的危化品车辆进行7×24小时现场值守服务（三班轮岗制），值班人员全部经过岗前培训并考核通过后持证上岗，值班人员须按照国家规定加纳社保及医疗保险；值守岗亭保障园区安全运营，记录危化品车行车，收发GPS卡，检查危化品车是否存在漏液及其他安全隐患，指导危化品车按危化等级安全停放。6人</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6</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人/年</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50,000.00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300,000.00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8</w:t>
                  </w:r>
                </w:p>
              </w:tc>
              <w:tc>
                <w:tcPr>
                  <w:tcW w:type="dxa" w:w="24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GPS</w:t>
                  </w:r>
                  <w:r>
                    <w:rPr>
                      <w:rFonts w:ascii="仿宋_GB2312" w:hAnsi="仿宋_GB2312" w:cs="仿宋_GB2312" w:eastAsia="仿宋_GB2312"/>
                      <w:sz w:val="19"/>
                      <w:color w:val="000000"/>
                    </w:rPr>
                    <w:t>管理及巡检服务</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包括：7×24小时现场值守服务三班轮岗制，值班人员全部经过岗前培训并考核通过后持证上岗，值班人员须按照国家规定加纳社保及医疗保险；巡逻厂区是否存在安全隐患及设施巡检，收集园区各岗亭的GPS卡以及确保有点可运行状态。6人</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6</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人/年</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50,000.00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300,000.00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9</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19"/>
                      <w:color w:val="000000"/>
                    </w:rPr>
                    <w:t>运营服务人员</w:t>
                  </w: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指挥中心日常</w:t>
                  </w:r>
                  <w:r>
                    <w:rPr>
                      <w:rFonts w:ascii="仿宋_GB2312" w:hAnsi="仿宋_GB2312" w:cs="仿宋_GB2312" w:eastAsia="仿宋_GB2312"/>
                      <w:sz w:val="19"/>
                      <w:color w:val="000000"/>
                    </w:rPr>
                    <w:t>运营管理服务</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包括：7×24小时现场值守服务三班轮岗制，技术人员全部经过岗前培训并考核通过后上岗，提供运营管理工具：实现对于机房环境、服务器、存储、网络安全等设备和资源使用的实时监控管理，并定期输出相关报表。人员须按照国家规定加纳社保及医疗保险；监控巡检预警点位运行状态；上报预警情况；监控各个道闸运营情况，记录运行及损坏台账，汇报管委会；运营管理危化品车审核及园区运行轨迹；运营管理园区各企业的长期车辆、预约车辆。9人</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9</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人/年</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85,000.00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765,000.00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10</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运营能耗</w:t>
                  </w:r>
                  <w:r>
                    <w:rPr>
                      <w:rFonts w:ascii="仿宋_GB2312" w:hAnsi="仿宋_GB2312" w:cs="仿宋_GB2312" w:eastAsia="仿宋_GB2312"/>
                      <w:sz w:val="19"/>
                      <w:color w:val="000000"/>
                    </w:rPr>
                    <w:t>费</w:t>
                  </w: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水费</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5个有人岗亭+停车场</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1</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年</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5,000.00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25,550.00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11</w:t>
                  </w:r>
                </w:p>
              </w:tc>
              <w:tc>
                <w:tcPr>
                  <w:tcW w:type="dxa" w:w="249"/>
                  <w:vMerge/>
                  <w:tcBorders>
                    <w:top w:val="none" w:color="000000" w:sz="4"/>
                    <w:left w:val="none" w:color="000000" w:sz="4"/>
                    <w:bottom w:val="single" w:color="000000" w:sz="4"/>
                    <w:right w:val="single" w:color="000000" w:sz="4"/>
                  </w:tcBorders>
                </w:tcPr>
                <w:p/>
              </w:tc>
              <w:tc>
                <w:tcPr>
                  <w:tcW w:type="dxa" w:w="320"/>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电费</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5个有人岗亭，预估用量；实际电费按发票金额结算</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12</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月</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5,000.00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60,000.00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12</w:t>
                  </w:r>
                </w:p>
              </w:tc>
              <w:tc>
                <w:tcPr>
                  <w:tcW w:type="dxa" w:w="249"/>
                  <w:vMerge/>
                  <w:tcBorders>
                    <w:top w:val="none" w:color="000000" w:sz="4"/>
                    <w:left w:val="none" w:color="000000" w:sz="4"/>
                    <w:bottom w:val="single" w:color="000000" w:sz="4"/>
                    <w:right w:val="single" w:color="000000" w:sz="4"/>
                  </w:tcBorders>
                </w:tcPr>
                <w:p/>
              </w:tc>
              <w:tc>
                <w:tcPr>
                  <w:tcW w:type="dxa" w:w="320"/>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控制中心：预估用量；实际电费按发票金额结算</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12</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月</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15,000.00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180,000.00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13</w:t>
                  </w:r>
                </w:p>
              </w:tc>
              <w:tc>
                <w:tcPr>
                  <w:tcW w:type="dxa" w:w="249"/>
                  <w:vMerge/>
                  <w:tcBorders>
                    <w:top w:val="none" w:color="000000" w:sz="4"/>
                    <w:left w:val="none" w:color="000000" w:sz="4"/>
                    <w:bottom w:val="single" w:color="000000" w:sz="4"/>
                    <w:right w:val="single" w:color="000000" w:sz="4"/>
                  </w:tcBorders>
                </w:tcPr>
                <w:p/>
              </w:tc>
              <w:tc>
                <w:tcPr>
                  <w:tcW w:type="dxa" w:w="320"/>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机房：预估用量；实际电费按发票金额结算</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12</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月</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5,000.00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60,000.00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14</w:t>
                  </w:r>
                </w:p>
              </w:tc>
              <w:tc>
                <w:tcPr>
                  <w:tcW w:type="dxa" w:w="249"/>
                  <w:vMerge/>
                  <w:tcBorders>
                    <w:top w:val="none" w:color="000000" w:sz="4"/>
                    <w:left w:val="none" w:color="000000" w:sz="4"/>
                    <w:bottom w:val="single" w:color="000000" w:sz="4"/>
                    <w:right w:val="single" w:color="000000" w:sz="4"/>
                  </w:tcBorders>
                </w:tcPr>
                <w:p/>
              </w:tc>
              <w:tc>
                <w:tcPr>
                  <w:tcW w:type="dxa" w:w="320"/>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停车场：根据停车场历史电费5000/月预估；实际电费按发票金额结算</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12</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月</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6,000.00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72,000.00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15</w:t>
                  </w:r>
                </w:p>
              </w:tc>
              <w:tc>
                <w:tcPr>
                  <w:tcW w:type="dxa" w:w="249"/>
                  <w:vMerge/>
                  <w:tcBorders>
                    <w:top w:val="none" w:color="000000" w:sz="4"/>
                    <w:left w:val="none" w:color="000000" w:sz="4"/>
                    <w:bottom w:val="single" w:color="000000" w:sz="4"/>
                    <w:right w:val="single" w:color="000000" w:sz="4"/>
                  </w:tcBorders>
                </w:tcPr>
                <w:p/>
              </w:tc>
              <w:tc>
                <w:tcPr>
                  <w:tcW w:type="dxa" w:w="320"/>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3个无人岗亭。根据每个岗亭总功率10千瓦预估；实际电费按发票金额核算</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12</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月</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15,000.00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180,000.00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16</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配套设备及耗材</w:t>
                  </w:r>
                </w:p>
              </w:tc>
              <w:tc>
                <w:tcPr>
                  <w:tcW w:type="dxa" w:w="320"/>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制服</w:t>
                  </w:r>
                </w:p>
              </w:tc>
              <w:tc>
                <w:tcPr>
                  <w:tcW w:type="dxa" w:w="72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运营团队40人，配备统一工作制服（含冬装、夏装），上衣、裤子、帽子、鞋、反光背心等</w:t>
                  </w:r>
                </w:p>
              </w:tc>
              <w:tc>
                <w:tcPr>
                  <w:tcW w:type="dxa" w:w="130"/>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40</w:t>
                  </w:r>
                </w:p>
              </w:tc>
              <w:tc>
                <w:tcPr>
                  <w:tcW w:type="dxa" w:w="167"/>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套</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800.00</w:t>
                  </w:r>
                </w:p>
              </w:tc>
              <w:tc>
                <w:tcPr>
                  <w:tcW w:type="dxa" w:w="39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32,000.00</w:t>
                  </w:r>
                </w:p>
              </w:tc>
              <w:tc>
                <w:tcPr>
                  <w:tcW w:type="dxa" w:w="207"/>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17</w:t>
                  </w:r>
                </w:p>
              </w:tc>
              <w:tc>
                <w:tcPr>
                  <w:tcW w:type="dxa" w:w="249"/>
                  <w:vMerge/>
                  <w:tcBorders>
                    <w:top w:val="none" w:color="000000" w:sz="4"/>
                    <w:left w:val="none" w:color="000000" w:sz="4"/>
                    <w:bottom w:val="single" w:color="000000" w:sz="4"/>
                    <w:right w:val="single" w:color="000000" w:sz="4"/>
                  </w:tcBorders>
                </w:tcPr>
                <w:p/>
              </w:tc>
              <w:tc>
                <w:tcPr>
                  <w:tcW w:type="dxa" w:w="320"/>
                  <w:vMerge/>
                  <w:tcBorders>
                    <w:top w:val="none" w:color="000000" w:sz="4"/>
                    <w:left w:val="none" w:color="000000" w:sz="4"/>
                    <w:bottom w:val="single" w:color="000000" w:sz="4"/>
                    <w:right w:val="single" w:color="000000" w:sz="4"/>
                  </w:tcBorders>
                </w:tcPr>
                <w:p/>
              </w:tc>
              <w:tc>
                <w:tcPr>
                  <w:tcW w:type="dxa" w:w="728"/>
                  <w:vMerge/>
                  <w:tcBorders>
                    <w:top w:val="none" w:color="000000" w:sz="4"/>
                    <w:left w:val="none" w:color="000000" w:sz="4"/>
                    <w:bottom w:val="single" w:color="000000" w:sz="4"/>
                    <w:right w:val="single" w:color="000000" w:sz="4"/>
                  </w:tcBorders>
                </w:tcPr>
                <w:p/>
              </w:tc>
              <w:tc>
                <w:tcPr>
                  <w:tcW w:type="dxa" w:w="130"/>
                  <w:vMerge/>
                  <w:tcBorders>
                    <w:top w:val="none" w:color="000000" w:sz="4"/>
                    <w:left w:val="none" w:color="000000" w:sz="4"/>
                    <w:bottom w:val="single" w:color="000000" w:sz="4"/>
                    <w:right w:val="single" w:color="000000" w:sz="4"/>
                  </w:tcBorders>
                </w:tcPr>
                <w:p/>
              </w:tc>
              <w:tc>
                <w:tcPr>
                  <w:tcW w:type="dxa" w:w="167"/>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07"/>
                  <w:vMerge/>
                  <w:tcBorders>
                    <w:top w:val="none" w:color="000000" w:sz="4"/>
                    <w:left w:val="none" w:color="000000" w:sz="4"/>
                    <w:bottom w:val="single" w:color="000000" w:sz="4"/>
                    <w:right w:val="single" w:color="000000" w:sz="4"/>
                  </w:tcBorders>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18</w:t>
                  </w:r>
                </w:p>
              </w:tc>
              <w:tc>
                <w:tcPr>
                  <w:tcW w:type="dxa" w:w="24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通讯设备</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对讲机，控制中心2个，5个有人岗亭，各3个，停车场3个，共20个。万能对频、AI降噪、IP54防水、手电、通讯距离20公里。</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20</w:t>
                  </w:r>
                </w:p>
              </w:tc>
              <w:tc>
                <w:tcPr>
                  <w:tcW w:type="dxa" w:w="167"/>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个</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800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16,000.00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19</w:t>
                  </w:r>
                </w:p>
              </w:tc>
              <w:tc>
                <w:tcPr>
                  <w:tcW w:type="dxa" w:w="24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扩音设备</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喇叭，5个有人岗亭，各2个，停车场2个，共计12个。50W大功率、一键录音、2600mAh大容量电池、循环播放、AUX音频输出、TF卡播放、U盘播放、ABS环保航空材质、AI语音提示。</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12</w:t>
                  </w:r>
                </w:p>
              </w:tc>
              <w:tc>
                <w:tcPr>
                  <w:tcW w:type="dxa" w:w="167"/>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300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3,600.00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20</w:t>
                  </w:r>
                </w:p>
              </w:tc>
              <w:tc>
                <w:tcPr>
                  <w:tcW w:type="dxa" w:w="24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饮水机</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5个有人岗亭+停车场+控制中心，各1个，共计7个。烧水壶功率1200W，保温壶功率25W，烧水壶0.8L，保温壶1.1L。</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7</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台</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200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1,400.00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21</w:t>
                  </w:r>
                </w:p>
              </w:tc>
              <w:tc>
                <w:tcPr>
                  <w:tcW w:type="dxa" w:w="24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电暖器</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5个有人岗亭+停车场，各1个，共计6个。石墨烯智能电暖器，4秒通电即热，18-28度，智能恒温。</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6</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个</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150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900.00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22</w:t>
                  </w:r>
                </w:p>
              </w:tc>
              <w:tc>
                <w:tcPr>
                  <w:tcW w:type="dxa" w:w="24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运营车辆</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日常巡检车辆（电动车），1200W无刷电机、33000cd发光强度、40m有效照射距离、防盗锁车、遥控解锁、感应报警、前置碟刹、定速巡航、72V21AH石墨烯电池。</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5</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台</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2,800.00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14,000.00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9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23</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运营管理费</w:t>
                  </w:r>
                </w:p>
              </w:tc>
              <w:tc>
                <w:tcPr>
                  <w:tcW w:type="dxa" w:w="32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运营管理费</w:t>
                  </w:r>
                </w:p>
              </w:tc>
              <w:tc>
                <w:tcPr>
                  <w:tcW w:type="dxa" w:w="72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运营公司7*24小时实时监控，保证园区运营正常</w:t>
                  </w:r>
                </w:p>
              </w:tc>
              <w:tc>
                <w:tcPr>
                  <w:tcW w:type="dxa" w:w="13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9"/>
                      <w:color w:val="000000"/>
                    </w:rPr>
                    <w:t>12</w:t>
                  </w:r>
                </w:p>
              </w:tc>
              <w:tc>
                <w:tcPr>
                  <w:tcW w:type="dxa" w:w="16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both"/>
                  </w:pPr>
                  <w:r>
                    <w:rPr>
                      <w:rFonts w:ascii="仿宋_GB2312" w:hAnsi="仿宋_GB2312" w:cs="仿宋_GB2312" w:eastAsia="仿宋_GB2312"/>
                      <w:sz w:val="19"/>
                      <w:color w:val="000000"/>
                    </w:rPr>
                    <w:t>月</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10,000.00</w:t>
                  </w:r>
                </w:p>
              </w:tc>
              <w:tc>
                <w:tcPr>
                  <w:tcW w:type="dxa" w:w="3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9"/>
                      <w:color w:val="000000"/>
                    </w:rPr>
                    <w:t>120,000.00</w:t>
                  </w:r>
                </w:p>
              </w:tc>
              <w:tc>
                <w:tcPr>
                  <w:tcW w:type="dxa" w:w="207"/>
                  <w:tcBorders>
                    <w:top w:val="none" w:color="000000" w:sz="4"/>
                    <w:left w:val="none" w:color="000000" w:sz="4"/>
                    <w:bottom w:val="single" w:color="000000" w:sz="4"/>
                    <w:right w:val="single" w:color="000000" w:sz="4"/>
                  </w:tcBorders>
                  <w:tcMar>
                    <w:top w:type="dxa" w:w="15"/>
                    <w:left w:type="dxa" w:w="15"/>
                    <w:right w:type="dxa" w:w="15"/>
                  </w:tcMar>
                  <w:vAlign w:val="center"/>
                </w:tcP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审查供应商营业执照等证明文件或者身份证明。提供在中华人民共和国境内注册的法人或其他组织的营业执照或事业单位法人证书复印件。</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提供供应商2022年-2023年连续两年财务审计报告。（成立不足两年的按成立年限提供）以上证明材料须符合要求、有效、完整。否则，响应无效。</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 1.投标人提供依法缴纳税收和社会保障资 金的相关材料》，提供递交投标文件截止之日前一年内（连续三个月）的良好缴纳税收的相关凭据。（以税务机关提供的纳税凭据或银行入账单为准） 2.提供递交响应文件截止之日前一年 内（连续三个月）缴纳社会保险的凭证。（以专用收据或社会保险缴纳清单为准） 注：依法免税或不需要缴纳社会保障 资金的供应商，应提供相应文件证明其依法免税或不需要缴纳社会保障金。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审查供应商提供的具有履行合同所必需的设备和专业技术能力的证明材料及承诺书。以上证明材料须符合要求、有效、完整。否则，响应无效。</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审查供应商参加本次采购活动前3年内在经营活动中没有重大违法记录的承诺书。 以上证明材料须符合要求、有效、完整。否则，响应无效。</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投标人在“信用中国”网站（www.creditchina.gov.cn）中未被列入失信被执行人、重大税收违法案件当事人名单；在“中国政府采购网”（www.ccgp.gov.cn）中未被列入政府采购严重违反失信行为记录名单；（提供截图）</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不接受联合体投标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项目运营服务方案</w:t>
            </w:r>
          </w:p>
        </w:tc>
        <w:tc>
          <w:tcPr>
            <w:tcW w:type="dxa" w:w="3115"/>
          </w:tcPr>
          <w:p>
            <w:pPr>
              <w:pStyle w:val="null5"/>
              <w:jc w:val="left"/>
            </w:pPr>
            <w:r>
              <w:rPr>
                <w:rFonts w:ascii="仿宋_GB2312" w:hAnsi="仿宋_GB2312" w:cs="仿宋_GB2312" w:eastAsia="仿宋_GB2312"/>
              </w:rPr>
              <w:t>供应商提供的服务方案中的阐述至少包括对本项目包括但不限于（1）运营方案、（2）运营安全管理方案、（3）安全保密方案等每一小项优得3分；每一小项良得2分；每一小项差得1分；没有提供或与本项目无关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人员服务方案</w:t>
            </w:r>
          </w:p>
        </w:tc>
        <w:tc>
          <w:tcPr>
            <w:tcW w:type="dxa" w:w="3115"/>
          </w:tcPr>
          <w:p>
            <w:pPr>
              <w:pStyle w:val="null5"/>
              <w:jc w:val="left"/>
            </w:pPr>
            <w:r>
              <w:rPr>
                <w:rFonts w:ascii="仿宋_GB2312" w:hAnsi="仿宋_GB2312" w:cs="仿宋_GB2312" w:eastAsia="仿宋_GB2312"/>
              </w:rPr>
              <w:t>供应商提供的服务方案中的阐述至少包括对本项目（1）人员管理制度规范、（2）人员供应体系（包含但不限于：选人用人管理、背景调查流程和标准） 、（3）人员保障方案、（4）人员稳定性管理等。每一小项优得3分；每一小项良得2分；每一小项差得1分；没有提供或与本项目无关不得分。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质量管理方案</w:t>
            </w:r>
          </w:p>
        </w:tc>
        <w:tc>
          <w:tcPr>
            <w:tcW w:type="dxa" w:w="3115"/>
          </w:tcPr>
          <w:p>
            <w:pPr>
              <w:pStyle w:val="null5"/>
              <w:jc w:val="left"/>
            </w:pPr>
            <w:r>
              <w:rPr>
                <w:rFonts w:ascii="仿宋_GB2312" w:hAnsi="仿宋_GB2312" w:cs="仿宋_GB2312" w:eastAsia="仿宋_GB2312"/>
              </w:rPr>
              <w:t>针对本项目质量管理方案内容至少包括（1）项目管理概述、（2）项目进度管理、（3）项目质量管理等进行比较；每一小项优得4分；每一小项良得2分；每一小项差得1分；没有提供或与本项目无关不得分。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风险管控能力</w:t>
            </w:r>
          </w:p>
        </w:tc>
        <w:tc>
          <w:tcPr>
            <w:tcW w:type="dxa" w:w="3115"/>
          </w:tcPr>
          <w:p>
            <w:pPr>
              <w:pStyle w:val="null5"/>
              <w:jc w:val="left"/>
            </w:pPr>
            <w:r>
              <w:rPr>
                <w:rFonts w:ascii="仿宋_GB2312" w:hAnsi="仿宋_GB2312" w:cs="仿宋_GB2312" w:eastAsia="仿宋_GB2312"/>
              </w:rPr>
              <w:t>针对本项目风险管控能力方案内容包括（1）风险识别能力、（2）风险评估能力、（3）风险应对能力等进行比较；每一小项优得3分；每一小 项良得2分；每一小项差得1分；没有提供或与本项目无关不得分。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人员绩效考核办法</w:t>
            </w:r>
          </w:p>
        </w:tc>
        <w:tc>
          <w:tcPr>
            <w:tcW w:type="dxa" w:w="3115"/>
          </w:tcPr>
          <w:p>
            <w:pPr>
              <w:pStyle w:val="null5"/>
              <w:jc w:val="left"/>
            </w:pPr>
            <w:r>
              <w:rPr>
                <w:rFonts w:ascii="仿宋_GB2312" w:hAnsi="仿宋_GB2312" w:cs="仿宋_GB2312" w:eastAsia="仿宋_GB2312"/>
              </w:rPr>
              <w:t>针对本项目人员绩效考核办法方案内容包括（1）人员绩效指标设计、（2）人员绩效考核办法、（3）人员绩效考核实施方案等进行比较；每一小项优得3分；每一小 项良得2分；每一小项差得1分；没有提供或与本项目无关不得分。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应急预案及措施</w:t>
            </w:r>
          </w:p>
        </w:tc>
        <w:tc>
          <w:tcPr>
            <w:tcW w:type="dxa" w:w="3115"/>
          </w:tcPr>
          <w:p>
            <w:pPr>
              <w:pStyle w:val="null5"/>
              <w:jc w:val="left"/>
            </w:pPr>
            <w:r>
              <w:rPr>
                <w:rFonts w:ascii="仿宋_GB2312" w:hAnsi="仿宋_GB2312" w:cs="仿宋_GB2312" w:eastAsia="仿宋_GB2312"/>
              </w:rPr>
              <w:t>有本项目的应急预案及措施至少包括（1）紧急情况分类、（2）预案及处理措施、（3）应急人员统筹安排等内容进行综合评定：每一小项优得3分；每一小项良得2分；每一小项差得1分；没有提供或与本项目无关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培训工作特色服务</w:t>
            </w:r>
          </w:p>
        </w:tc>
        <w:tc>
          <w:tcPr>
            <w:tcW w:type="dxa" w:w="3115"/>
          </w:tcPr>
          <w:p>
            <w:pPr>
              <w:pStyle w:val="null5"/>
              <w:jc w:val="left"/>
            </w:pPr>
            <w:r>
              <w:rPr>
                <w:rFonts w:ascii="仿宋_GB2312" w:hAnsi="仿宋_GB2312" w:cs="仿宋_GB2312" w:eastAsia="仿宋_GB2312"/>
              </w:rPr>
              <w:t>针对本项目制定的（1）培训计划（2）培训方案（3）培训目标等进行比较；每一小项优得3分；每一小项良得2分；每一小项差得1分；没有提供或与本项目无关不得分。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针对本项目服务内容包括（1）服务承诺（2）服务措施（3）服务内容保密措施等进行比较；每一小项优得3分；每一小项良得2分；每一小项差得1分；没有提供或与本项目无关不得分。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投标人提供承担过（已完成或合同履行中）近三年内（2022年至今，以合同签订时间为准）相关运维服务类业绩，每提供一项业绩得3分，最高6分； 注：（1）提供合同关键页（含签订合同双方的单位名称、合同项目名称、服务内容、合同签订时间、双方的落款盖章等关键内容），否则不得分（2）如公司名称发生变更，必须提供相关部门的证明文件。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管理团队配备</w:t>
            </w:r>
          </w:p>
        </w:tc>
        <w:tc>
          <w:tcPr>
            <w:tcW w:type="dxa" w:w="3115"/>
          </w:tcPr>
          <w:p>
            <w:pPr>
              <w:pStyle w:val="null5"/>
              <w:jc w:val="left"/>
            </w:pPr>
            <w:r>
              <w:rPr>
                <w:rFonts w:ascii="仿宋_GB2312" w:hAnsi="仿宋_GB2312" w:cs="仿宋_GB2312" w:eastAsia="仿宋_GB2312"/>
              </w:rPr>
              <w:t>项目负责人具备以下证书：注册信息安全工程师（CISE）、信息系统项目管理师(高级)、数据库系统工程师，具备其中一项得1分，未提供不得分。（本项最高得2分）注：投标文件提供上述人员的证书复印件，并提供连续三个月（不含投标截止之日当月）为上述人员购买社保的证明材料（加盖社保部门公章或者电子印章）或者有效的劳动合同复印件，上述资料加盖投标人公章，未提供或者提供的证明文件不符合要求的则不得分。 根据投标人拟投入项目技术团队人员（不含项目负责人）配备情况进行评审，投标人服务团队人员具备以下证书：信息安全保障人员认证证书、信息系统项目管理师、系统集成项目管理工程师、消防中控室监管员、IT服务项目经理，具备一项得1分，未提供不得分。（本项目最高得4分） （项目团队人员需提供证书扫描件、近3个月及以上的社保缴费证明或劳动合同等其他有效证明材料）</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